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BD2A6D4"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525F270" w14:textId="3199872A" w:rsidR="00D23D25" w:rsidRPr="00D23D25" w:rsidRDefault="00E972E3" w:rsidP="008B2B76">
            <w:pPr>
              <w:spacing w:after="0" w:line="240" w:lineRule="auto"/>
              <w:rPr>
                <w:sz w:val="68"/>
                <w:szCs w:val="68"/>
              </w:rPr>
            </w:pPr>
            <w:r>
              <w:rPr>
                <w:color w:val="FFFFFF" w:themeColor="background1"/>
                <w:sz w:val="68"/>
                <w:szCs w:val="68"/>
              </w:rPr>
              <w:t>eCase</w:t>
            </w:r>
            <w:r w:rsidR="00172B58">
              <w:rPr>
                <w:color w:val="FFFFFF" w:themeColor="background1"/>
                <w:sz w:val="68"/>
                <w:szCs w:val="68"/>
              </w:rPr>
              <w:t>:</w:t>
            </w:r>
            <w:r w:rsidR="003511DB">
              <w:rPr>
                <w:color w:val="FFFFFF" w:themeColor="background1"/>
                <w:sz w:val="68"/>
                <w:szCs w:val="68"/>
              </w:rPr>
              <w:t xml:space="preserve"> </w:t>
            </w:r>
            <w:r w:rsidR="00172B58">
              <w:rPr>
                <w:color w:val="FFFFFF" w:themeColor="background1"/>
                <w:sz w:val="68"/>
                <w:szCs w:val="68"/>
              </w:rPr>
              <w:t>e</w:t>
            </w:r>
            <w:r w:rsidR="003511DB">
              <w:rPr>
                <w:color w:val="FFFFFF" w:themeColor="background1"/>
                <w:sz w:val="68"/>
                <w:szCs w:val="68"/>
              </w:rPr>
              <w:t xml:space="preserve">lectronic </w:t>
            </w:r>
            <w:r w:rsidR="00172B58">
              <w:rPr>
                <w:color w:val="FFFFFF" w:themeColor="background1"/>
                <w:sz w:val="68"/>
                <w:szCs w:val="68"/>
              </w:rPr>
              <w:t>s</w:t>
            </w:r>
            <w:r w:rsidR="003511DB">
              <w:rPr>
                <w:color w:val="FFFFFF" w:themeColor="background1"/>
                <w:sz w:val="68"/>
                <w:szCs w:val="68"/>
              </w:rPr>
              <w:t>ubpoenas</w:t>
            </w:r>
          </w:p>
        </w:tc>
      </w:tr>
      <w:tr w:rsidR="00D23D25" w:rsidRPr="00D23D25" w14:paraId="5E28BD7E"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4B56DB52" w14:textId="69E32FB8" w:rsidR="00D23D25" w:rsidRPr="00D23D25" w:rsidRDefault="003511DB" w:rsidP="00D23D25">
            <w:pPr>
              <w:spacing w:after="0" w:line="240" w:lineRule="auto"/>
              <w:rPr>
                <w:b/>
                <w:color w:val="FFFFFF" w:themeColor="background1"/>
                <w:sz w:val="32"/>
                <w:szCs w:val="32"/>
              </w:rPr>
            </w:pPr>
            <w:r>
              <w:rPr>
                <w:b/>
                <w:color w:val="FFFFFF" w:themeColor="background1"/>
                <w:sz w:val="32"/>
                <w:szCs w:val="32"/>
              </w:rPr>
              <w:t xml:space="preserve">Practice </w:t>
            </w:r>
            <w:r w:rsidR="00172B58">
              <w:rPr>
                <w:b/>
                <w:color w:val="FFFFFF" w:themeColor="background1"/>
                <w:sz w:val="32"/>
                <w:szCs w:val="32"/>
              </w:rPr>
              <w:t>n</w:t>
            </w:r>
            <w:r>
              <w:rPr>
                <w:b/>
                <w:color w:val="FFFFFF" w:themeColor="background1"/>
                <w:sz w:val="32"/>
                <w:szCs w:val="32"/>
              </w:rPr>
              <w:t xml:space="preserve">ote </w:t>
            </w:r>
          </w:p>
        </w:tc>
      </w:tr>
    </w:tbl>
    <w:p w14:paraId="5BFA6968" w14:textId="77777777" w:rsidR="00D23D25" w:rsidRDefault="00D23D25">
      <w:pPr>
        <w:spacing w:after="0" w:line="240" w:lineRule="auto"/>
        <w:rPr>
          <w:b/>
          <w:sz w:val="36"/>
        </w:rPr>
      </w:pPr>
      <w:r>
        <w:br w:type="page"/>
      </w:r>
    </w:p>
    <w:p w14:paraId="30AAA46E"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1D72EE26"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1A5858" w14:paraId="3F55205D"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5D26E7A4" w14:textId="77777777" w:rsidR="001A5858" w:rsidRPr="00BA4602" w:rsidRDefault="001A5858" w:rsidP="00846D9B">
            <w:pPr>
              <w:rPr>
                <w:b/>
              </w:rPr>
            </w:pPr>
            <w:r w:rsidRPr="00BA4602">
              <w:rPr>
                <w:b/>
              </w:rPr>
              <w:t>Document type</w:t>
            </w:r>
          </w:p>
        </w:tc>
        <w:tc>
          <w:tcPr>
            <w:tcW w:w="7670" w:type="dxa"/>
          </w:tcPr>
          <w:p w14:paraId="3891757D" w14:textId="4BAAA166" w:rsidR="001A5858" w:rsidRPr="00BA4602" w:rsidRDefault="003511DB" w:rsidP="001A5858">
            <w:pPr>
              <w:cnfStyle w:val="100000000000" w:firstRow="1" w:lastRow="0" w:firstColumn="0" w:lastColumn="0" w:oddVBand="0" w:evenVBand="0" w:oddHBand="0" w:evenHBand="0" w:firstRowFirstColumn="0" w:firstRowLastColumn="0" w:lastRowFirstColumn="0" w:lastRowLastColumn="0"/>
            </w:pPr>
            <w:r>
              <w:t xml:space="preserve">Practice </w:t>
            </w:r>
            <w:r w:rsidR="00172B58">
              <w:t>n</w:t>
            </w:r>
            <w:r>
              <w:t>ote</w:t>
            </w:r>
          </w:p>
        </w:tc>
      </w:tr>
      <w:tr w:rsidR="001145C7" w14:paraId="2036F63A"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3FC77577" w14:textId="77777777" w:rsidR="001145C7" w:rsidRDefault="001145C7" w:rsidP="00846D9B">
            <w:r>
              <w:t>Reference number</w:t>
            </w:r>
          </w:p>
        </w:tc>
        <w:tc>
          <w:tcPr>
            <w:tcW w:w="7670" w:type="dxa"/>
          </w:tcPr>
          <w:p w14:paraId="61F21C5D" w14:textId="6BFEB40C" w:rsidR="001145C7" w:rsidRDefault="00475949" w:rsidP="00846D9B">
            <w:pPr>
              <w:cnfStyle w:val="000000000000" w:firstRow="0" w:lastRow="0" w:firstColumn="0" w:lastColumn="0" w:oddVBand="0" w:evenVBand="0" w:oddHBand="0" w:evenHBand="0" w:firstRowFirstColumn="0" w:firstRowLastColumn="0" w:lastRowFirstColumn="0" w:lastRowLastColumn="0"/>
            </w:pPr>
            <w:r>
              <w:t>PNCI 8</w:t>
            </w:r>
            <w:r w:rsidR="00172B58">
              <w:t>–</w:t>
            </w:r>
            <w:r>
              <w:t>2020</w:t>
            </w:r>
          </w:p>
        </w:tc>
      </w:tr>
      <w:tr w:rsidR="001145C7" w14:paraId="7467896B"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7790CBC2" w14:textId="77777777" w:rsidR="001145C7" w:rsidRDefault="001145C7" w:rsidP="00846D9B">
            <w:r>
              <w:t>Division</w:t>
            </w:r>
          </w:p>
        </w:tc>
        <w:tc>
          <w:tcPr>
            <w:tcW w:w="7670" w:type="dxa"/>
          </w:tcPr>
          <w:p w14:paraId="08E5D6A1" w14:textId="784E1680" w:rsidR="001145C7" w:rsidRDefault="00E5522E" w:rsidP="00846D9B">
            <w:pPr>
              <w:cnfStyle w:val="000000000000" w:firstRow="0" w:lastRow="0" w:firstColumn="0" w:lastColumn="0" w:oddVBand="0" w:evenVBand="0" w:oddHBand="0" w:evenHBand="0" w:firstRowFirstColumn="0" w:firstRowLastColumn="0" w:lastRowFirstColumn="0" w:lastRowLastColumn="0"/>
            </w:pPr>
            <w:r>
              <w:t>Common Law and Commercial Division</w:t>
            </w:r>
          </w:p>
        </w:tc>
      </w:tr>
      <w:tr w:rsidR="00522A09" w14:paraId="70D5564E"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430FD125" w14:textId="77777777" w:rsidR="00522A09" w:rsidRDefault="00522A09" w:rsidP="00846D9B">
            <w:r>
              <w:t>Reviewed by</w:t>
            </w:r>
          </w:p>
        </w:tc>
        <w:tc>
          <w:tcPr>
            <w:tcW w:w="7670" w:type="dxa"/>
          </w:tcPr>
          <w:p w14:paraId="50D75B45" w14:textId="6FAB8350" w:rsidR="00522A09" w:rsidRDefault="00475949" w:rsidP="00846D9B">
            <w:pPr>
              <w:cnfStyle w:val="000000000000" w:firstRow="0" w:lastRow="0" w:firstColumn="0" w:lastColumn="0" w:oddVBand="0" w:evenVBand="0" w:oddHBand="0" w:evenHBand="0" w:firstRowFirstColumn="0" w:firstRowLastColumn="0" w:lastRowFirstColumn="0" w:lastRowLastColumn="0"/>
            </w:pPr>
            <w:r>
              <w:t>Judge Tsalamandris</w:t>
            </w:r>
          </w:p>
        </w:tc>
      </w:tr>
      <w:tr w:rsidR="00522A09" w14:paraId="0AA147A2"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435CF249" w14:textId="77777777" w:rsidR="00522A09" w:rsidRDefault="00522A09" w:rsidP="00846D9B">
            <w:r>
              <w:t>Authorised by</w:t>
            </w:r>
          </w:p>
        </w:tc>
        <w:tc>
          <w:tcPr>
            <w:tcW w:w="7670" w:type="dxa"/>
          </w:tcPr>
          <w:p w14:paraId="5FC7AF69" w14:textId="227942BC" w:rsidR="00522A09" w:rsidRDefault="00475949" w:rsidP="00846D9B">
            <w:pPr>
              <w:cnfStyle w:val="000000000000" w:firstRow="0" w:lastRow="0" w:firstColumn="0" w:lastColumn="0" w:oddVBand="0" w:evenVBand="0" w:oddHBand="0" w:evenHBand="0" w:firstRowFirstColumn="0" w:firstRowLastColumn="0" w:lastRowFirstColumn="0" w:lastRowLastColumn="0"/>
            </w:pPr>
            <w:r>
              <w:t>Judge Tsalamandris</w:t>
            </w:r>
          </w:p>
        </w:tc>
      </w:tr>
      <w:tr w:rsidR="002E56CF" w14:paraId="4FF80B74" w14:textId="77777777" w:rsidTr="00846D9B">
        <w:tc>
          <w:tcPr>
            <w:cnfStyle w:val="001000000000" w:firstRow="0" w:lastRow="0" w:firstColumn="1" w:lastColumn="0" w:oddVBand="0" w:evenVBand="0" w:oddHBand="0" w:evenHBand="0" w:firstRowFirstColumn="0" w:firstRowLastColumn="0" w:lastRowFirstColumn="0" w:lastRowLastColumn="0"/>
            <w:tcW w:w="2420" w:type="dxa"/>
          </w:tcPr>
          <w:p w14:paraId="6845C853" w14:textId="77777777" w:rsidR="002E56CF" w:rsidRDefault="002E56CF" w:rsidP="001145C7">
            <w:r>
              <w:t>Notes</w:t>
            </w:r>
          </w:p>
        </w:tc>
        <w:tc>
          <w:tcPr>
            <w:tcW w:w="7670" w:type="dxa"/>
          </w:tcPr>
          <w:p w14:paraId="5822F403" w14:textId="77777777"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79DC3E59" w14:textId="77777777" w:rsidR="001A5858" w:rsidRDefault="001A5858" w:rsidP="004B11EF">
      <w:pPr>
        <w:ind w:left="425" w:hanging="425"/>
        <w:rPr>
          <w:b/>
          <w:sz w:val="29"/>
          <w:szCs w:val="29"/>
        </w:rPr>
      </w:pPr>
    </w:p>
    <w:p w14:paraId="1150DB0A"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234F4D" w14:paraId="53EE5913" w14:textId="77777777" w:rsidTr="007C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EFC81A" w14:textId="77777777" w:rsidR="00234F4D" w:rsidRDefault="00234F4D" w:rsidP="00185030">
            <w:r>
              <w:t>Version</w:t>
            </w:r>
          </w:p>
        </w:tc>
        <w:tc>
          <w:tcPr>
            <w:tcW w:w="1276" w:type="dxa"/>
          </w:tcPr>
          <w:p w14:paraId="3ADC7380"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3647B81D"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786EF65D"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0F824D89" w14:textId="77777777" w:rsidTr="007C4912">
        <w:tc>
          <w:tcPr>
            <w:cnfStyle w:val="001000000000" w:firstRow="0" w:lastRow="0" w:firstColumn="1" w:lastColumn="0" w:oddVBand="0" w:evenVBand="0" w:oddHBand="0" w:evenHBand="0" w:firstRowFirstColumn="0" w:firstRowLastColumn="0" w:lastRowFirstColumn="0" w:lastRowLastColumn="0"/>
            <w:tcW w:w="1129" w:type="dxa"/>
          </w:tcPr>
          <w:p w14:paraId="79DC2183" w14:textId="57A65F35" w:rsidR="00234F4D" w:rsidRDefault="00E5522E" w:rsidP="00185030">
            <w:r>
              <w:t>1.0</w:t>
            </w:r>
          </w:p>
        </w:tc>
        <w:tc>
          <w:tcPr>
            <w:tcW w:w="1276" w:type="dxa"/>
          </w:tcPr>
          <w:p w14:paraId="0CFEA936" w14:textId="6FC83CED" w:rsidR="00234F4D" w:rsidRDefault="001C36FD" w:rsidP="00185030">
            <w:pPr>
              <w:cnfStyle w:val="000000000000" w:firstRow="0" w:lastRow="0" w:firstColumn="0" w:lastColumn="0" w:oddVBand="0" w:evenVBand="0" w:oddHBand="0" w:evenHBand="0" w:firstRowFirstColumn="0" w:firstRowLastColumn="0" w:lastRowFirstColumn="0" w:lastRowLastColumn="0"/>
            </w:pPr>
            <w:r>
              <w:t>28/08/20</w:t>
            </w:r>
          </w:p>
        </w:tc>
        <w:tc>
          <w:tcPr>
            <w:tcW w:w="3544" w:type="dxa"/>
          </w:tcPr>
          <w:p w14:paraId="20AE3198" w14:textId="7A4B30D7" w:rsidR="00234F4D" w:rsidRDefault="00475949" w:rsidP="00185030">
            <w:pPr>
              <w:cnfStyle w:val="000000000000" w:firstRow="0" w:lastRow="0" w:firstColumn="0" w:lastColumn="0" w:oddVBand="0" w:evenVBand="0" w:oddHBand="0" w:evenHBand="0" w:firstRowFirstColumn="0" w:firstRowLastColumn="0" w:lastRowFirstColumn="0" w:lastRowLastColumn="0"/>
            </w:pPr>
            <w:r>
              <w:t>Judge Tsalamandris</w:t>
            </w:r>
          </w:p>
        </w:tc>
        <w:tc>
          <w:tcPr>
            <w:tcW w:w="4051" w:type="dxa"/>
          </w:tcPr>
          <w:p w14:paraId="55B157CE" w14:textId="3D9ACD15" w:rsidR="00234F4D" w:rsidRDefault="00E5522E" w:rsidP="00185030">
            <w:pPr>
              <w:cnfStyle w:val="000000000000" w:firstRow="0" w:lastRow="0" w:firstColumn="0" w:lastColumn="0" w:oddVBand="0" w:evenVBand="0" w:oddHBand="0" w:evenHBand="0" w:firstRowFirstColumn="0" w:firstRowLastColumn="0" w:lastRowFirstColumn="0" w:lastRowLastColumn="0"/>
            </w:pPr>
            <w:r>
              <w:t>Document created</w:t>
            </w:r>
          </w:p>
        </w:tc>
      </w:tr>
    </w:tbl>
    <w:p w14:paraId="1FFE76B3" w14:textId="77777777" w:rsidR="00234F4D" w:rsidRPr="00234F4D" w:rsidRDefault="00234F4D" w:rsidP="00234F4D"/>
    <w:p w14:paraId="001C694D" w14:textId="77777777" w:rsidR="00234F4D" w:rsidRPr="002E7520" w:rsidRDefault="00234F4D" w:rsidP="004B11EF">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01049D" w14:paraId="3AA7157C" w14:textId="77777777" w:rsidTr="0001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D007242" w14:textId="77777777" w:rsidR="0001049D" w:rsidRPr="0001049D" w:rsidRDefault="0001049D" w:rsidP="00185030">
            <w:r>
              <w:t>Document title</w:t>
            </w:r>
          </w:p>
        </w:tc>
        <w:tc>
          <w:tcPr>
            <w:tcW w:w="1623" w:type="dxa"/>
          </w:tcPr>
          <w:p w14:paraId="752C2C29" w14:textId="77777777" w:rsidR="0001049D" w:rsidRDefault="0001049D" w:rsidP="00185030">
            <w:pPr>
              <w:cnfStyle w:val="100000000000" w:firstRow="1" w:lastRow="0" w:firstColumn="0" w:lastColumn="0" w:oddVBand="0" w:evenVBand="0" w:oddHBand="0" w:evenHBand="0" w:firstRowFirstColumn="0" w:firstRowLastColumn="0" w:lastRowFirstColumn="0" w:lastRowLastColumn="0"/>
            </w:pPr>
            <w:r>
              <w:t>Version</w:t>
            </w:r>
          </w:p>
        </w:tc>
      </w:tr>
      <w:tr w:rsidR="0001049D" w14:paraId="01B2D9AA"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36F001CD" w14:textId="09F2B3CF" w:rsidR="0001049D" w:rsidRDefault="00E5522E" w:rsidP="00185030">
            <w:r>
              <w:t xml:space="preserve">Common Law </w:t>
            </w:r>
            <w:r w:rsidR="00820D81">
              <w:t>s</w:t>
            </w:r>
            <w:r>
              <w:t xml:space="preserve">ubpoenas </w:t>
            </w:r>
            <w:r w:rsidR="00820D81">
              <w:t>p</w:t>
            </w:r>
            <w:r>
              <w:t xml:space="preserve">ractice </w:t>
            </w:r>
            <w:r w:rsidR="00820D81">
              <w:t>n</w:t>
            </w:r>
            <w:r>
              <w:t>ote – reference number PNCLD 9</w:t>
            </w:r>
            <w:r w:rsidR="00172B58">
              <w:t>–</w:t>
            </w:r>
            <w:r>
              <w:t>2020</w:t>
            </w:r>
          </w:p>
        </w:tc>
        <w:tc>
          <w:tcPr>
            <w:tcW w:w="1623" w:type="dxa"/>
          </w:tcPr>
          <w:p w14:paraId="3081E174" w14:textId="456DB616" w:rsidR="0001049D" w:rsidRDefault="00E5522E" w:rsidP="00185030">
            <w:pPr>
              <w:cnfStyle w:val="000000000000" w:firstRow="0" w:lastRow="0" w:firstColumn="0" w:lastColumn="0" w:oddVBand="0" w:evenVBand="0" w:oddHBand="0" w:evenHBand="0" w:firstRowFirstColumn="0" w:firstRowLastColumn="0" w:lastRowFirstColumn="0" w:lastRowLastColumn="0"/>
            </w:pPr>
            <w:r>
              <w:t xml:space="preserve">1.0 </w:t>
            </w:r>
          </w:p>
        </w:tc>
      </w:tr>
      <w:tr w:rsidR="0001049D" w14:paraId="497652C0"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4554FCEA" w14:textId="03027688" w:rsidR="0001049D" w:rsidRDefault="00475949" w:rsidP="00475949">
            <w:r>
              <w:t>Notice to practitioner</w:t>
            </w:r>
            <w:r w:rsidR="00357ED8">
              <w:t>s</w:t>
            </w:r>
            <w:r>
              <w:t xml:space="preserve"> </w:t>
            </w:r>
            <w:r w:rsidR="00172B58">
              <w:t xml:space="preserve">– </w:t>
            </w:r>
            <w:r>
              <w:t>Commercial Division response to COVID-19</w:t>
            </w:r>
          </w:p>
        </w:tc>
        <w:tc>
          <w:tcPr>
            <w:tcW w:w="1623" w:type="dxa"/>
          </w:tcPr>
          <w:p w14:paraId="687772A7" w14:textId="702BEBA8" w:rsidR="0001049D" w:rsidRDefault="00475949" w:rsidP="00185030">
            <w:pPr>
              <w:cnfStyle w:val="000000000000" w:firstRow="0" w:lastRow="0" w:firstColumn="0" w:lastColumn="0" w:oddVBand="0" w:evenVBand="0" w:oddHBand="0" w:evenHBand="0" w:firstRowFirstColumn="0" w:firstRowLastColumn="0" w:lastRowFirstColumn="0" w:lastRowLastColumn="0"/>
            </w:pPr>
            <w:r>
              <w:t>1.2</w:t>
            </w:r>
          </w:p>
        </w:tc>
      </w:tr>
      <w:tr w:rsidR="00522A09" w14:paraId="1BA2B672"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5B5160AC" w14:textId="58FEFF4D" w:rsidR="00522A09" w:rsidRDefault="00475949" w:rsidP="00185030">
            <w:r>
              <w:t xml:space="preserve">Commercial Division </w:t>
            </w:r>
            <w:r w:rsidR="00820D81">
              <w:t>p</w:t>
            </w:r>
            <w:r>
              <w:t xml:space="preserve">ractice </w:t>
            </w:r>
            <w:r w:rsidR="00820D81">
              <w:t>n</w:t>
            </w:r>
            <w:r>
              <w:t xml:space="preserve">ote – reference number </w:t>
            </w:r>
            <w:r w:rsidRPr="00475949">
              <w:t>PNCO 1</w:t>
            </w:r>
            <w:r w:rsidR="00172B58">
              <w:t>–</w:t>
            </w:r>
            <w:r w:rsidRPr="00475949">
              <w:t>2019</w:t>
            </w:r>
          </w:p>
        </w:tc>
        <w:tc>
          <w:tcPr>
            <w:tcW w:w="1623" w:type="dxa"/>
          </w:tcPr>
          <w:p w14:paraId="5BF686EA" w14:textId="134861CB" w:rsidR="00522A09" w:rsidRDefault="00475949" w:rsidP="00185030">
            <w:pPr>
              <w:cnfStyle w:val="000000000000" w:firstRow="0" w:lastRow="0" w:firstColumn="0" w:lastColumn="0" w:oddVBand="0" w:evenVBand="0" w:oddHBand="0" w:evenHBand="0" w:firstRowFirstColumn="0" w:firstRowLastColumn="0" w:lastRowFirstColumn="0" w:lastRowLastColumn="0"/>
            </w:pPr>
            <w:r>
              <w:t>1.0</w:t>
            </w:r>
          </w:p>
        </w:tc>
      </w:tr>
      <w:tr w:rsidR="002D12BE" w14:paraId="4302D06A"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5D6C1CEF" w14:textId="798019B3" w:rsidR="002D12BE" w:rsidRDefault="002D12BE" w:rsidP="00185030">
            <w:r>
              <w:t xml:space="preserve">Commercial Division Building Cases List </w:t>
            </w:r>
            <w:r w:rsidR="00820D81">
              <w:t>p</w:t>
            </w:r>
            <w:r>
              <w:t xml:space="preserve">ractice </w:t>
            </w:r>
            <w:r w:rsidR="00820D81">
              <w:t>n</w:t>
            </w:r>
            <w:r>
              <w:t>ote – reference number PNCO 2-2019</w:t>
            </w:r>
          </w:p>
        </w:tc>
        <w:tc>
          <w:tcPr>
            <w:tcW w:w="1623" w:type="dxa"/>
          </w:tcPr>
          <w:p w14:paraId="179ED29F" w14:textId="39AC8794" w:rsidR="002D12BE" w:rsidRDefault="002D12BE" w:rsidP="00185030">
            <w:pPr>
              <w:cnfStyle w:val="000000000000" w:firstRow="0" w:lastRow="0" w:firstColumn="0" w:lastColumn="0" w:oddVBand="0" w:evenVBand="0" w:oddHBand="0" w:evenHBand="0" w:firstRowFirstColumn="0" w:firstRowLastColumn="0" w:lastRowFirstColumn="0" w:lastRowLastColumn="0"/>
            </w:pPr>
            <w:r>
              <w:t>1.0</w:t>
            </w:r>
          </w:p>
        </w:tc>
      </w:tr>
    </w:tbl>
    <w:p w14:paraId="4C3DFB6B" w14:textId="77777777" w:rsidR="00234F4D" w:rsidRPr="00234F4D" w:rsidRDefault="00234F4D" w:rsidP="00234F4D"/>
    <w:p w14:paraId="00E32712" w14:textId="77777777" w:rsidR="00234F4D" w:rsidRPr="00234F4D" w:rsidRDefault="00234F4D" w:rsidP="00234F4D"/>
    <w:p w14:paraId="255E7FEF"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355EB59D" w14:textId="77777777" w:rsidR="004B11EF" w:rsidRPr="002E56CF" w:rsidRDefault="004B11EF" w:rsidP="00567C68">
          <w:pPr>
            <w:pStyle w:val="TOCHeading"/>
          </w:pPr>
          <w:r w:rsidRPr="002E56CF">
            <w:t>C</w:t>
          </w:r>
          <w:r w:rsidR="0003733E" w:rsidRPr="002E56CF">
            <w:t>ONTENTS</w:t>
          </w:r>
        </w:p>
        <w:p w14:paraId="2254A73F" w14:textId="32AF3842" w:rsidR="00172B58"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49509245" w:history="1">
            <w:r w:rsidR="00172B58" w:rsidRPr="005B118A">
              <w:rPr>
                <w:rStyle w:val="Hyperlink"/>
                <w14:scene3d>
                  <w14:camera w14:prst="orthographicFront"/>
                  <w14:lightRig w14:rig="threePt" w14:dir="t">
                    <w14:rot w14:lat="0" w14:lon="0" w14:rev="0"/>
                  </w14:lightRig>
                </w14:scene3d>
              </w:rPr>
              <w:t>1.</w:t>
            </w:r>
            <w:r w:rsidR="00172B58">
              <w:rPr>
                <w:rFonts w:asciiTheme="minorHAnsi" w:eastAsiaTheme="minorEastAsia" w:hAnsiTheme="minorHAnsi"/>
                <w:szCs w:val="22"/>
                <w:lang w:eastAsia="en-AU"/>
              </w:rPr>
              <w:tab/>
            </w:r>
            <w:r w:rsidR="00172B58" w:rsidRPr="005B118A">
              <w:rPr>
                <w:rStyle w:val="Hyperlink"/>
              </w:rPr>
              <w:t>eCase</w:t>
            </w:r>
            <w:r w:rsidR="00172B58">
              <w:rPr>
                <w:webHidden/>
              </w:rPr>
              <w:tab/>
            </w:r>
            <w:r w:rsidR="00172B58">
              <w:rPr>
                <w:webHidden/>
              </w:rPr>
              <w:fldChar w:fldCharType="begin"/>
            </w:r>
            <w:r w:rsidR="00172B58">
              <w:rPr>
                <w:webHidden/>
              </w:rPr>
              <w:instrText xml:space="preserve"> PAGEREF _Toc49509245 \h </w:instrText>
            </w:r>
            <w:r w:rsidR="00172B58">
              <w:rPr>
                <w:webHidden/>
              </w:rPr>
            </w:r>
            <w:r w:rsidR="00172B58">
              <w:rPr>
                <w:webHidden/>
              </w:rPr>
              <w:fldChar w:fldCharType="separate"/>
            </w:r>
            <w:r w:rsidR="00172B58">
              <w:rPr>
                <w:webHidden/>
              </w:rPr>
              <w:t>4</w:t>
            </w:r>
            <w:r w:rsidR="00172B58">
              <w:rPr>
                <w:webHidden/>
              </w:rPr>
              <w:fldChar w:fldCharType="end"/>
            </w:r>
          </w:hyperlink>
        </w:p>
        <w:p w14:paraId="24A0D416" w14:textId="26824010" w:rsidR="00172B58" w:rsidRDefault="009267DF">
          <w:pPr>
            <w:pStyle w:val="TOC1"/>
            <w:rPr>
              <w:rFonts w:asciiTheme="minorHAnsi" w:eastAsiaTheme="minorEastAsia" w:hAnsiTheme="minorHAnsi"/>
              <w:szCs w:val="22"/>
              <w:lang w:eastAsia="en-AU"/>
            </w:rPr>
          </w:pPr>
          <w:hyperlink w:anchor="_Toc49509246" w:history="1">
            <w:r w:rsidR="00172B58" w:rsidRPr="005B118A">
              <w:rPr>
                <w:rStyle w:val="Hyperlink"/>
                <w14:scene3d>
                  <w14:camera w14:prst="orthographicFront"/>
                  <w14:lightRig w14:rig="threePt" w14:dir="t">
                    <w14:rot w14:lat="0" w14:lon="0" w14:rev="0"/>
                  </w14:lightRig>
                </w14:scene3d>
              </w:rPr>
              <w:t>2.</w:t>
            </w:r>
            <w:r w:rsidR="00172B58">
              <w:rPr>
                <w:rFonts w:asciiTheme="minorHAnsi" w:eastAsiaTheme="minorEastAsia" w:hAnsiTheme="minorHAnsi"/>
                <w:szCs w:val="22"/>
                <w:lang w:eastAsia="en-AU"/>
              </w:rPr>
              <w:tab/>
            </w:r>
            <w:r w:rsidR="00172B58" w:rsidRPr="005B118A">
              <w:rPr>
                <w:rStyle w:val="Hyperlink"/>
              </w:rPr>
              <w:t>Notice to be served with subpoena</w:t>
            </w:r>
            <w:r w:rsidR="00172B58">
              <w:rPr>
                <w:webHidden/>
              </w:rPr>
              <w:tab/>
            </w:r>
            <w:r w:rsidR="00172B58">
              <w:rPr>
                <w:webHidden/>
              </w:rPr>
              <w:fldChar w:fldCharType="begin"/>
            </w:r>
            <w:r w:rsidR="00172B58">
              <w:rPr>
                <w:webHidden/>
              </w:rPr>
              <w:instrText xml:space="preserve"> PAGEREF _Toc49509246 \h </w:instrText>
            </w:r>
            <w:r w:rsidR="00172B58">
              <w:rPr>
                <w:webHidden/>
              </w:rPr>
            </w:r>
            <w:r w:rsidR="00172B58">
              <w:rPr>
                <w:webHidden/>
              </w:rPr>
              <w:fldChar w:fldCharType="separate"/>
            </w:r>
            <w:r w:rsidR="00172B58">
              <w:rPr>
                <w:webHidden/>
              </w:rPr>
              <w:t>5</w:t>
            </w:r>
            <w:r w:rsidR="00172B58">
              <w:rPr>
                <w:webHidden/>
              </w:rPr>
              <w:fldChar w:fldCharType="end"/>
            </w:r>
          </w:hyperlink>
        </w:p>
        <w:p w14:paraId="48F517D0" w14:textId="1A769E07" w:rsidR="00172B58" w:rsidRDefault="009267DF">
          <w:pPr>
            <w:pStyle w:val="TOC1"/>
            <w:rPr>
              <w:rFonts w:asciiTheme="minorHAnsi" w:eastAsiaTheme="minorEastAsia" w:hAnsiTheme="minorHAnsi"/>
              <w:szCs w:val="22"/>
              <w:lang w:eastAsia="en-AU"/>
            </w:rPr>
          </w:pPr>
          <w:hyperlink w:anchor="_Toc49509247" w:history="1">
            <w:r w:rsidR="00172B58" w:rsidRPr="005B118A">
              <w:rPr>
                <w:rStyle w:val="Hyperlink"/>
                <w14:scene3d>
                  <w14:camera w14:prst="orthographicFront"/>
                  <w14:lightRig w14:rig="threePt" w14:dir="t">
                    <w14:rot w14:lat="0" w14:lon="0" w14:rev="0"/>
                  </w14:lightRig>
                </w14:scene3d>
              </w:rPr>
              <w:t>3.</w:t>
            </w:r>
            <w:r w:rsidR="00172B58">
              <w:rPr>
                <w:rFonts w:asciiTheme="minorHAnsi" w:eastAsiaTheme="minorEastAsia" w:hAnsiTheme="minorHAnsi"/>
                <w:szCs w:val="22"/>
                <w:lang w:eastAsia="en-AU"/>
              </w:rPr>
              <w:tab/>
            </w:r>
            <w:r w:rsidR="00172B58" w:rsidRPr="005B118A">
              <w:rPr>
                <w:rStyle w:val="Hyperlink"/>
              </w:rPr>
              <w:t>Responding to a subpoena</w:t>
            </w:r>
            <w:r w:rsidR="00172B58">
              <w:rPr>
                <w:webHidden/>
              </w:rPr>
              <w:tab/>
            </w:r>
            <w:r w:rsidR="00172B58">
              <w:rPr>
                <w:webHidden/>
              </w:rPr>
              <w:fldChar w:fldCharType="begin"/>
            </w:r>
            <w:r w:rsidR="00172B58">
              <w:rPr>
                <w:webHidden/>
              </w:rPr>
              <w:instrText xml:space="preserve"> PAGEREF _Toc49509247 \h </w:instrText>
            </w:r>
            <w:r w:rsidR="00172B58">
              <w:rPr>
                <w:webHidden/>
              </w:rPr>
            </w:r>
            <w:r w:rsidR="00172B58">
              <w:rPr>
                <w:webHidden/>
              </w:rPr>
              <w:fldChar w:fldCharType="separate"/>
            </w:r>
            <w:r w:rsidR="00172B58">
              <w:rPr>
                <w:webHidden/>
              </w:rPr>
              <w:t>5</w:t>
            </w:r>
            <w:r w:rsidR="00172B58">
              <w:rPr>
                <w:webHidden/>
              </w:rPr>
              <w:fldChar w:fldCharType="end"/>
            </w:r>
          </w:hyperlink>
        </w:p>
        <w:p w14:paraId="7D9F5126" w14:textId="573D540D" w:rsidR="00172B58" w:rsidRDefault="009267DF">
          <w:pPr>
            <w:pStyle w:val="TOC1"/>
            <w:rPr>
              <w:rFonts w:asciiTheme="minorHAnsi" w:eastAsiaTheme="minorEastAsia" w:hAnsiTheme="minorHAnsi"/>
              <w:szCs w:val="22"/>
              <w:lang w:eastAsia="en-AU"/>
            </w:rPr>
          </w:pPr>
          <w:hyperlink w:anchor="_Toc49509248" w:history="1">
            <w:r w:rsidR="00172B58" w:rsidRPr="005B118A">
              <w:rPr>
                <w:rStyle w:val="Hyperlink"/>
                <w14:scene3d>
                  <w14:camera w14:prst="orthographicFront"/>
                  <w14:lightRig w14:rig="threePt" w14:dir="t">
                    <w14:rot w14:lat="0" w14:lon="0" w14:rev="0"/>
                  </w14:lightRig>
                </w14:scene3d>
              </w:rPr>
              <w:t>4.</w:t>
            </w:r>
            <w:r w:rsidR="00172B58">
              <w:rPr>
                <w:rFonts w:asciiTheme="minorHAnsi" w:eastAsiaTheme="minorEastAsia" w:hAnsiTheme="minorHAnsi"/>
                <w:szCs w:val="22"/>
                <w:lang w:eastAsia="en-AU"/>
              </w:rPr>
              <w:tab/>
            </w:r>
            <w:r w:rsidR="00172B58" w:rsidRPr="005B118A">
              <w:rPr>
                <w:rStyle w:val="Hyperlink"/>
              </w:rPr>
              <w:t>Objections</w:t>
            </w:r>
            <w:r w:rsidR="00172B58">
              <w:rPr>
                <w:webHidden/>
              </w:rPr>
              <w:tab/>
            </w:r>
            <w:r w:rsidR="00172B58">
              <w:rPr>
                <w:webHidden/>
              </w:rPr>
              <w:fldChar w:fldCharType="begin"/>
            </w:r>
            <w:r w:rsidR="00172B58">
              <w:rPr>
                <w:webHidden/>
              </w:rPr>
              <w:instrText xml:space="preserve"> PAGEREF _Toc49509248 \h </w:instrText>
            </w:r>
            <w:r w:rsidR="00172B58">
              <w:rPr>
                <w:webHidden/>
              </w:rPr>
            </w:r>
            <w:r w:rsidR="00172B58">
              <w:rPr>
                <w:webHidden/>
              </w:rPr>
              <w:fldChar w:fldCharType="separate"/>
            </w:r>
            <w:r w:rsidR="00172B58">
              <w:rPr>
                <w:webHidden/>
              </w:rPr>
              <w:t>7</w:t>
            </w:r>
            <w:r w:rsidR="00172B58">
              <w:rPr>
                <w:webHidden/>
              </w:rPr>
              <w:fldChar w:fldCharType="end"/>
            </w:r>
          </w:hyperlink>
        </w:p>
        <w:p w14:paraId="63F92B5E" w14:textId="50AAA6C9" w:rsidR="00172B58" w:rsidRDefault="009267DF">
          <w:pPr>
            <w:pStyle w:val="TOC1"/>
            <w:rPr>
              <w:rFonts w:asciiTheme="minorHAnsi" w:eastAsiaTheme="minorEastAsia" w:hAnsiTheme="minorHAnsi"/>
              <w:szCs w:val="22"/>
              <w:lang w:eastAsia="en-AU"/>
            </w:rPr>
          </w:pPr>
          <w:hyperlink w:anchor="_Toc49509249" w:history="1">
            <w:r w:rsidR="00172B58" w:rsidRPr="005B118A">
              <w:rPr>
                <w:rStyle w:val="Hyperlink"/>
                <w14:scene3d>
                  <w14:camera w14:prst="orthographicFront"/>
                  <w14:lightRig w14:rig="threePt" w14:dir="t">
                    <w14:rot w14:lat="0" w14:lon="0" w14:rev="0"/>
                  </w14:lightRig>
                </w14:scene3d>
              </w:rPr>
              <w:t>5.</w:t>
            </w:r>
            <w:r w:rsidR="00172B58">
              <w:rPr>
                <w:rFonts w:asciiTheme="minorHAnsi" w:eastAsiaTheme="minorEastAsia" w:hAnsiTheme="minorHAnsi"/>
                <w:szCs w:val="22"/>
                <w:lang w:eastAsia="en-AU"/>
              </w:rPr>
              <w:tab/>
            </w:r>
            <w:r w:rsidR="00172B58" w:rsidRPr="005B118A">
              <w:rPr>
                <w:rStyle w:val="Hyperlink"/>
              </w:rPr>
              <w:t>Inspection of subpoenaed material</w:t>
            </w:r>
            <w:r w:rsidR="00172B58">
              <w:rPr>
                <w:webHidden/>
              </w:rPr>
              <w:tab/>
            </w:r>
            <w:r w:rsidR="00172B58">
              <w:rPr>
                <w:webHidden/>
              </w:rPr>
              <w:fldChar w:fldCharType="begin"/>
            </w:r>
            <w:r w:rsidR="00172B58">
              <w:rPr>
                <w:webHidden/>
              </w:rPr>
              <w:instrText xml:space="preserve"> PAGEREF _Toc49509249 \h </w:instrText>
            </w:r>
            <w:r w:rsidR="00172B58">
              <w:rPr>
                <w:webHidden/>
              </w:rPr>
            </w:r>
            <w:r w:rsidR="00172B58">
              <w:rPr>
                <w:webHidden/>
              </w:rPr>
              <w:fldChar w:fldCharType="separate"/>
            </w:r>
            <w:r w:rsidR="00172B58">
              <w:rPr>
                <w:webHidden/>
              </w:rPr>
              <w:t>8</w:t>
            </w:r>
            <w:r w:rsidR="00172B58">
              <w:rPr>
                <w:webHidden/>
              </w:rPr>
              <w:fldChar w:fldCharType="end"/>
            </w:r>
          </w:hyperlink>
        </w:p>
        <w:p w14:paraId="6901AC0F" w14:textId="4371F916" w:rsidR="00172B58" w:rsidRDefault="009267DF">
          <w:pPr>
            <w:pStyle w:val="TOC1"/>
            <w:rPr>
              <w:rFonts w:asciiTheme="minorHAnsi" w:eastAsiaTheme="minorEastAsia" w:hAnsiTheme="minorHAnsi"/>
              <w:szCs w:val="22"/>
              <w:lang w:eastAsia="en-AU"/>
            </w:rPr>
          </w:pPr>
          <w:hyperlink w:anchor="_Toc49509250" w:history="1">
            <w:r w:rsidR="00172B58" w:rsidRPr="005B118A">
              <w:rPr>
                <w:rStyle w:val="Hyperlink"/>
                <w14:scene3d>
                  <w14:camera w14:prst="orthographicFront"/>
                  <w14:lightRig w14:rig="threePt" w14:dir="t">
                    <w14:rot w14:lat="0" w14:lon="0" w14:rev="0"/>
                  </w14:lightRig>
                </w14:scene3d>
              </w:rPr>
              <w:t>6.</w:t>
            </w:r>
            <w:r w:rsidR="00172B58">
              <w:rPr>
                <w:rFonts w:asciiTheme="minorHAnsi" w:eastAsiaTheme="minorEastAsia" w:hAnsiTheme="minorHAnsi"/>
                <w:szCs w:val="22"/>
                <w:lang w:eastAsia="en-AU"/>
              </w:rPr>
              <w:tab/>
            </w:r>
            <w:r w:rsidR="00172B58" w:rsidRPr="005B118A">
              <w:rPr>
                <w:rStyle w:val="Hyperlink"/>
              </w:rPr>
              <w:t>Destruction of subpoenaed material</w:t>
            </w:r>
            <w:r w:rsidR="00172B58">
              <w:rPr>
                <w:webHidden/>
              </w:rPr>
              <w:tab/>
            </w:r>
            <w:r w:rsidR="00172B58">
              <w:rPr>
                <w:webHidden/>
              </w:rPr>
              <w:fldChar w:fldCharType="begin"/>
            </w:r>
            <w:r w:rsidR="00172B58">
              <w:rPr>
                <w:webHidden/>
              </w:rPr>
              <w:instrText xml:space="preserve"> PAGEREF _Toc49509250 \h </w:instrText>
            </w:r>
            <w:r w:rsidR="00172B58">
              <w:rPr>
                <w:webHidden/>
              </w:rPr>
            </w:r>
            <w:r w:rsidR="00172B58">
              <w:rPr>
                <w:webHidden/>
              </w:rPr>
              <w:fldChar w:fldCharType="separate"/>
            </w:r>
            <w:r w:rsidR="00172B58">
              <w:rPr>
                <w:webHidden/>
              </w:rPr>
              <w:t>9</w:t>
            </w:r>
            <w:r w:rsidR="00172B58">
              <w:rPr>
                <w:webHidden/>
              </w:rPr>
              <w:fldChar w:fldCharType="end"/>
            </w:r>
          </w:hyperlink>
        </w:p>
        <w:p w14:paraId="00329F68" w14:textId="254A7E6E" w:rsidR="00172B58" w:rsidRDefault="009267DF">
          <w:pPr>
            <w:pStyle w:val="TOC1"/>
            <w:rPr>
              <w:rFonts w:asciiTheme="minorHAnsi" w:eastAsiaTheme="minorEastAsia" w:hAnsiTheme="minorHAnsi"/>
              <w:szCs w:val="22"/>
              <w:lang w:eastAsia="en-AU"/>
            </w:rPr>
          </w:pPr>
          <w:hyperlink w:anchor="_Toc49509251" w:history="1">
            <w:r w:rsidR="00172B58" w:rsidRPr="005B118A">
              <w:rPr>
                <w:rStyle w:val="Hyperlink"/>
                <w14:scene3d>
                  <w14:camera w14:prst="orthographicFront"/>
                  <w14:lightRig w14:rig="threePt" w14:dir="t">
                    <w14:rot w14:lat="0" w14:lon="0" w14:rev="0"/>
                  </w14:lightRig>
                </w14:scene3d>
              </w:rPr>
              <w:t>7.</w:t>
            </w:r>
            <w:r w:rsidR="00172B58">
              <w:rPr>
                <w:rFonts w:asciiTheme="minorHAnsi" w:eastAsiaTheme="minorEastAsia" w:hAnsiTheme="minorHAnsi"/>
                <w:szCs w:val="22"/>
                <w:lang w:eastAsia="en-AU"/>
              </w:rPr>
              <w:tab/>
            </w:r>
            <w:r w:rsidR="00172B58" w:rsidRPr="005B118A">
              <w:rPr>
                <w:rStyle w:val="Hyperlink"/>
              </w:rPr>
              <w:t>Contact details</w:t>
            </w:r>
            <w:r w:rsidR="00172B58">
              <w:rPr>
                <w:webHidden/>
              </w:rPr>
              <w:tab/>
            </w:r>
            <w:r w:rsidR="00172B58">
              <w:rPr>
                <w:webHidden/>
              </w:rPr>
              <w:fldChar w:fldCharType="begin"/>
            </w:r>
            <w:r w:rsidR="00172B58">
              <w:rPr>
                <w:webHidden/>
              </w:rPr>
              <w:instrText xml:space="preserve"> PAGEREF _Toc49509251 \h </w:instrText>
            </w:r>
            <w:r w:rsidR="00172B58">
              <w:rPr>
                <w:webHidden/>
              </w:rPr>
            </w:r>
            <w:r w:rsidR="00172B58">
              <w:rPr>
                <w:webHidden/>
              </w:rPr>
              <w:fldChar w:fldCharType="separate"/>
            </w:r>
            <w:r w:rsidR="00172B58">
              <w:rPr>
                <w:webHidden/>
              </w:rPr>
              <w:t>9</w:t>
            </w:r>
            <w:r w:rsidR="00172B58">
              <w:rPr>
                <w:webHidden/>
              </w:rPr>
              <w:fldChar w:fldCharType="end"/>
            </w:r>
          </w:hyperlink>
        </w:p>
        <w:p w14:paraId="3726A363" w14:textId="22BABD28" w:rsidR="004B11EF" w:rsidRDefault="00862ECC" w:rsidP="0003733E">
          <w:r>
            <w:fldChar w:fldCharType="end"/>
          </w:r>
        </w:p>
      </w:sdtContent>
    </w:sdt>
    <w:p w14:paraId="6056DCC3" w14:textId="77777777" w:rsidR="0001049D" w:rsidRDefault="0001049D">
      <w:pPr>
        <w:spacing w:after="0" w:line="240" w:lineRule="auto"/>
        <w:rPr>
          <w:rFonts w:cs="Arial"/>
          <w:b/>
          <w:sz w:val="26"/>
          <w:szCs w:val="26"/>
        </w:rPr>
      </w:pPr>
      <w:r>
        <w:br w:type="page"/>
      </w:r>
    </w:p>
    <w:p w14:paraId="040AF802" w14:textId="1201C94C" w:rsidR="000F3D26" w:rsidRPr="00F7280F" w:rsidRDefault="00E972E3" w:rsidP="00C94597">
      <w:pPr>
        <w:pStyle w:val="Heading1"/>
      </w:pPr>
      <w:bookmarkStart w:id="0" w:name="_Toc49509245"/>
      <w:r w:rsidRPr="00F7280F">
        <w:lastRenderedPageBreak/>
        <w:t>eCase</w:t>
      </w:r>
      <w:bookmarkEnd w:id="0"/>
    </w:p>
    <w:p w14:paraId="70D0569D" w14:textId="372D575C" w:rsidR="002D12BE" w:rsidRDefault="00C94597" w:rsidP="004B1683">
      <w:pPr>
        <w:pStyle w:val="Normalnumbered"/>
      </w:pPr>
      <w:r>
        <w:t xml:space="preserve">The Court has implemented a new electronic </w:t>
      </w:r>
      <w:r w:rsidR="002D12BE">
        <w:t>platform for</w:t>
      </w:r>
      <w:r>
        <w:t xml:space="preserve"> the digitisation of the subpoena process</w:t>
      </w:r>
      <w:r w:rsidR="00E972E3">
        <w:t xml:space="preserve">, named </w:t>
      </w:r>
      <w:r w:rsidR="00E972E3" w:rsidRPr="00E972E3">
        <w:rPr>
          <w:b/>
          <w:bCs/>
        </w:rPr>
        <w:t>eCase</w:t>
      </w:r>
      <w:r>
        <w:t xml:space="preserve">. </w:t>
      </w:r>
      <w:r w:rsidR="004B1683">
        <w:t>eCase is the Court’s preferred method for the submission of subpoena responses, objections, objection withdrawal</w:t>
      </w:r>
      <w:r w:rsidR="0082206D">
        <w:t>,</w:t>
      </w:r>
      <w:r w:rsidR="004B1683">
        <w:t xml:space="preserve"> inspection requests</w:t>
      </w:r>
      <w:r w:rsidR="0082206D">
        <w:t xml:space="preserve"> and inspection itself</w:t>
      </w:r>
      <w:r w:rsidR="004B1683">
        <w:t xml:space="preserve">. </w:t>
      </w:r>
      <w:r w:rsidR="002D12BE">
        <w:t>From 31 August 2020, parties, practitioner</w:t>
      </w:r>
      <w:r w:rsidR="001C36FD">
        <w:t>s</w:t>
      </w:r>
      <w:r w:rsidR="002D12BE">
        <w:t xml:space="preserve"> and addressees should use </w:t>
      </w:r>
      <w:r w:rsidR="004B1683">
        <w:t>eCase to complete the tasks and actions under paragraph 1.</w:t>
      </w:r>
      <w:r w:rsidR="002D12BE">
        <w:t>4</w:t>
      </w:r>
      <w:r w:rsidR="004B1683">
        <w:t xml:space="preserve"> and 1.</w:t>
      </w:r>
      <w:r w:rsidR="002D12BE">
        <w:t>5</w:t>
      </w:r>
      <w:r w:rsidR="004B1683">
        <w:t xml:space="preserve"> </w:t>
      </w:r>
      <w:r w:rsidR="002D12BE">
        <w:t xml:space="preserve">in all civil proceedings, unless it is impractical to do so. </w:t>
      </w:r>
    </w:p>
    <w:p w14:paraId="463A1B5E" w14:textId="7E7A71D0" w:rsidR="00C94597" w:rsidRDefault="002D12BE" w:rsidP="004B1683">
      <w:pPr>
        <w:pStyle w:val="Normalnumbered"/>
      </w:pPr>
      <w:r>
        <w:t>This practice note sets out the guidelines for responding to subpoenas; making objections; and requesting inspection, electronically via eCase. It complements the County Court Civil Procedure Rules 2018 (“the Rules”)</w:t>
      </w:r>
      <w:r w:rsidR="00C94597">
        <w:t xml:space="preserve"> </w:t>
      </w:r>
      <w:r>
        <w:t>and should be read in conjunction with the following practice notes:</w:t>
      </w:r>
    </w:p>
    <w:p w14:paraId="54C2DEDF" w14:textId="571A46CD" w:rsidR="002D12BE" w:rsidRDefault="002D12BE" w:rsidP="002D12BE">
      <w:pPr>
        <w:pStyle w:val="ListNumber"/>
      </w:pPr>
      <w:r>
        <w:t>PNCLD 9-2020 Common Law Subpoenas</w:t>
      </w:r>
    </w:p>
    <w:p w14:paraId="261B02F0" w14:textId="7684B656" w:rsidR="002D12BE" w:rsidRDefault="002D12BE" w:rsidP="002D12BE">
      <w:pPr>
        <w:pStyle w:val="ListNumber"/>
      </w:pPr>
      <w:r>
        <w:t>PNCO 1-2019 Commercial Division</w:t>
      </w:r>
    </w:p>
    <w:p w14:paraId="75CC6077" w14:textId="5C53EBA4" w:rsidR="002D12BE" w:rsidRDefault="002D12BE" w:rsidP="002D12BE">
      <w:pPr>
        <w:pStyle w:val="ListNumber"/>
      </w:pPr>
      <w:r>
        <w:t>PNCO 2-2019 Building Cases List</w:t>
      </w:r>
    </w:p>
    <w:p w14:paraId="1A83C9B9" w14:textId="2213F5AC" w:rsidR="002D12BE" w:rsidRDefault="002D12BE" w:rsidP="002D12BE">
      <w:pPr>
        <w:pStyle w:val="ListNumber"/>
      </w:pPr>
      <w:r>
        <w:t>Commercial Division Response to COVID-19</w:t>
      </w:r>
    </w:p>
    <w:p w14:paraId="72C49602" w14:textId="65F64F4F" w:rsidR="002D12BE" w:rsidRDefault="002D12BE" w:rsidP="002D12BE">
      <w:pPr>
        <w:pStyle w:val="Normalnumbered"/>
      </w:pPr>
      <w:r>
        <w:t xml:space="preserve">This practice note prevails to the extent of any inconsistency between the above practice notes and this practice note. In particular, part 37 of the Commercial Division Practice Note (PNCO 1-2019) and part 2.4 of the Commercial Division Response to COVID-19 are affected by this practice note. </w:t>
      </w:r>
    </w:p>
    <w:p w14:paraId="5250C72F" w14:textId="66F61AAD" w:rsidR="00C94597" w:rsidRDefault="002D12BE" w:rsidP="00C94597">
      <w:pPr>
        <w:pStyle w:val="Normalnumbered"/>
      </w:pPr>
      <w:r>
        <w:t>Subpoenaed</w:t>
      </w:r>
      <w:r w:rsidR="00C94597">
        <w:t xml:space="preserve"> </w:t>
      </w:r>
      <w:r w:rsidR="00B8427B">
        <w:t>a</w:t>
      </w:r>
      <w:r w:rsidR="00C94597">
        <w:t xml:space="preserve">ddressees </w:t>
      </w:r>
      <w:r>
        <w:t xml:space="preserve">can use eCase </w:t>
      </w:r>
      <w:r w:rsidR="00C94597">
        <w:t>to:</w:t>
      </w:r>
    </w:p>
    <w:p w14:paraId="2A2F149D" w14:textId="3B1C8602" w:rsidR="00C94597" w:rsidRDefault="00C94597" w:rsidP="00C94597">
      <w:pPr>
        <w:pStyle w:val="ListNumber"/>
      </w:pPr>
      <w:r>
        <w:t>produce subpoena</w:t>
      </w:r>
      <w:r w:rsidR="002D12BE">
        <w:t>ed</w:t>
      </w:r>
      <w:r>
        <w:t xml:space="preserve"> material in response to the subpoena;</w:t>
      </w:r>
    </w:p>
    <w:p w14:paraId="400F5F71" w14:textId="6FF1043C" w:rsidR="00C94597" w:rsidRDefault="00C94597" w:rsidP="00C94597">
      <w:pPr>
        <w:pStyle w:val="ListNumber"/>
      </w:pPr>
      <w:r>
        <w:t xml:space="preserve">advise the Court and the parties </w:t>
      </w:r>
      <w:r w:rsidR="0082206D">
        <w:t>if</w:t>
      </w:r>
      <w:r>
        <w:t xml:space="preserve"> no material was found in response to the subpoena;</w:t>
      </w:r>
    </w:p>
    <w:p w14:paraId="377FB315" w14:textId="1628A432" w:rsidR="00C94597" w:rsidRDefault="00C94597" w:rsidP="00C94597">
      <w:pPr>
        <w:pStyle w:val="ListNumber"/>
      </w:pPr>
      <w:r>
        <w:t xml:space="preserve">advise the Court that the </w:t>
      </w:r>
      <w:r w:rsidR="002D12BE">
        <w:t>a</w:t>
      </w:r>
      <w:r>
        <w:t xml:space="preserve">ddressee is objecting </w:t>
      </w:r>
      <w:r w:rsidR="008F3920">
        <w:t xml:space="preserve">to comply with the subpoena </w:t>
      </w:r>
      <w:r>
        <w:t>and provide the ground for their objection;</w:t>
      </w:r>
    </w:p>
    <w:p w14:paraId="019ACDDA" w14:textId="704F2122" w:rsidR="00C94597" w:rsidRDefault="00C94597" w:rsidP="00C94597">
      <w:pPr>
        <w:pStyle w:val="ListNumber"/>
      </w:pPr>
      <w:r>
        <w:t>lodge an objection to the inspection of produced material and provide the ground for their objection; and</w:t>
      </w:r>
    </w:p>
    <w:p w14:paraId="3E4AB38B" w14:textId="3CB2FDCB" w:rsidR="00C94597" w:rsidRDefault="00C94597" w:rsidP="00C94597">
      <w:pPr>
        <w:pStyle w:val="ListNumber"/>
      </w:pPr>
      <w:r>
        <w:t>withdraw a previous objection.</w:t>
      </w:r>
    </w:p>
    <w:p w14:paraId="39BF36C1" w14:textId="0A600B3B" w:rsidR="00C94597" w:rsidRDefault="002D12BE" w:rsidP="00C94597">
      <w:pPr>
        <w:pStyle w:val="Normalnumbered"/>
      </w:pPr>
      <w:r>
        <w:t>Parties</w:t>
      </w:r>
      <w:r w:rsidR="0082206D">
        <w:t>,</w:t>
      </w:r>
      <w:r w:rsidR="00802831">
        <w:t xml:space="preserve"> their solicitor</w:t>
      </w:r>
      <w:r w:rsidR="0082206D">
        <w:t>, or other persons with a sufficient interest</w:t>
      </w:r>
      <w:r>
        <w:t xml:space="preserve"> can use eCase</w:t>
      </w:r>
      <w:r w:rsidR="00802831">
        <w:t xml:space="preserve"> to:</w:t>
      </w:r>
    </w:p>
    <w:p w14:paraId="20DDA523" w14:textId="5B6A663C" w:rsidR="00802831" w:rsidRDefault="00802831" w:rsidP="00802831">
      <w:pPr>
        <w:pStyle w:val="ListNumber"/>
      </w:pPr>
      <w:r>
        <w:t xml:space="preserve">lodge an objection to the inspection of subpoena material and provide the ground for their objection; </w:t>
      </w:r>
      <w:r w:rsidR="00450829">
        <w:t>and</w:t>
      </w:r>
    </w:p>
    <w:p w14:paraId="2503C74F" w14:textId="00AE3647" w:rsidR="00802831" w:rsidRDefault="00802831" w:rsidP="00450829">
      <w:pPr>
        <w:pStyle w:val="ListNumber"/>
      </w:pPr>
      <w:r>
        <w:t>withdraw a previous objection</w:t>
      </w:r>
      <w:r w:rsidR="00450829">
        <w:t>.</w:t>
      </w:r>
    </w:p>
    <w:p w14:paraId="191B7EE4" w14:textId="219B9B4B" w:rsidR="00450829" w:rsidRDefault="00450829" w:rsidP="00C25CEC">
      <w:pPr>
        <w:pStyle w:val="Normalnumbered"/>
      </w:pPr>
      <w:r>
        <w:t xml:space="preserve">Parties or their solicitor </w:t>
      </w:r>
      <w:r w:rsidR="002D12BE">
        <w:t xml:space="preserve">can also use eCase </w:t>
      </w:r>
      <w:r>
        <w:t xml:space="preserve">to: </w:t>
      </w:r>
    </w:p>
    <w:p w14:paraId="57F84A0A" w14:textId="69A16350" w:rsidR="00450829" w:rsidRDefault="00450829" w:rsidP="00450829">
      <w:pPr>
        <w:pStyle w:val="ListNumber"/>
      </w:pPr>
      <w:r>
        <w:t xml:space="preserve">view subpoena material produced by the Addressee </w:t>
      </w:r>
      <w:r w:rsidR="002D12BE">
        <w:t>(where permitted by the Rules)</w:t>
      </w:r>
      <w:r>
        <w:t>; and</w:t>
      </w:r>
    </w:p>
    <w:p w14:paraId="6B3D5805" w14:textId="6F6BD072" w:rsidR="00450829" w:rsidRDefault="00450829" w:rsidP="00450829">
      <w:pPr>
        <w:pStyle w:val="ListNumber"/>
      </w:pPr>
      <w:r>
        <w:t xml:space="preserve">download subpoena material produced by the Addressee </w:t>
      </w:r>
      <w:r w:rsidR="002D12BE">
        <w:t>(where permitted by the Rules)</w:t>
      </w:r>
      <w:r>
        <w:t>.</w:t>
      </w:r>
    </w:p>
    <w:p w14:paraId="1ECD19A6" w14:textId="7B46D5CA" w:rsidR="00E03216" w:rsidRDefault="00B52A9E" w:rsidP="007971F3">
      <w:pPr>
        <w:pStyle w:val="Normalnumbered"/>
      </w:pPr>
      <w:r>
        <w:t xml:space="preserve">Subpoenas cannot be issued via eCase. The existing procedures for issuing subpoenas continue to apply. </w:t>
      </w:r>
    </w:p>
    <w:p w14:paraId="551903B0" w14:textId="02B63066" w:rsidR="00F7280F" w:rsidRDefault="00F7280F" w:rsidP="00C868A6">
      <w:pPr>
        <w:pStyle w:val="Normalnumbered"/>
      </w:pPr>
      <w:r>
        <w:t xml:space="preserve">Subpoenas issued pursuant to Order 7A of the County Court Civil Procedure Rules 2018 (Trans-Tasman subpoenas) and applications made pursuant to Section 32C of the </w:t>
      </w:r>
      <w:r w:rsidRPr="00F7280F">
        <w:rPr>
          <w:i/>
          <w:iCs/>
        </w:rPr>
        <w:t xml:space="preserve">Evidence (Miscellaneous Provisions) Act </w:t>
      </w:r>
      <w:r w:rsidRPr="00F7280F">
        <w:t>1958</w:t>
      </w:r>
      <w:r>
        <w:t xml:space="preserve"> are </w:t>
      </w:r>
      <w:r>
        <w:rPr>
          <w:b/>
          <w:bCs/>
        </w:rPr>
        <w:t>not</w:t>
      </w:r>
      <w:r>
        <w:t xml:space="preserve"> available in eCase. </w:t>
      </w:r>
      <w:r w:rsidR="00B52A9E">
        <w:t xml:space="preserve">The existing procedures for </w:t>
      </w:r>
      <w:r w:rsidR="00B52A9E">
        <w:lastRenderedPageBreak/>
        <w:t xml:space="preserve">production and inspection of subpoenaed material continue to apply to these subpoenas. </w:t>
      </w:r>
    </w:p>
    <w:p w14:paraId="77572B02" w14:textId="43569C60" w:rsidR="00EF5CA4" w:rsidRPr="00EF5CA4" w:rsidRDefault="00EF5CA4" w:rsidP="001864D5">
      <w:pPr>
        <w:pStyle w:val="Normalnumbered"/>
      </w:pPr>
      <w:r w:rsidRPr="00EF5CA4">
        <w:t>For the best user experience, the Court encourages users to access eCase via one of the following supported browsers:</w:t>
      </w:r>
    </w:p>
    <w:p w14:paraId="02B316C3" w14:textId="68EB7070" w:rsidR="00457FCC" w:rsidRPr="004B1683" w:rsidRDefault="00EF5CA4" w:rsidP="00EF5CA4">
      <w:pPr>
        <w:pStyle w:val="ListNumber"/>
      </w:pPr>
      <w:r w:rsidRPr="004B1683">
        <w:t>Google Chrome</w:t>
      </w:r>
    </w:p>
    <w:p w14:paraId="2B455ED1" w14:textId="23C0C2FB" w:rsidR="00EF5CA4" w:rsidRPr="004B1683" w:rsidRDefault="00EF5CA4" w:rsidP="00EF5CA4">
      <w:pPr>
        <w:pStyle w:val="ListNumber"/>
      </w:pPr>
      <w:r w:rsidRPr="004B1683">
        <w:t>Mozilla Firefox</w:t>
      </w:r>
    </w:p>
    <w:p w14:paraId="513B1C2B" w14:textId="4E4E035F" w:rsidR="00EF5CA4" w:rsidRPr="004B1683" w:rsidRDefault="00EF5CA4" w:rsidP="00EF5CA4">
      <w:pPr>
        <w:pStyle w:val="ListNumber"/>
      </w:pPr>
      <w:r w:rsidRPr="004B1683">
        <w:t>Apple Safari 10+</w:t>
      </w:r>
    </w:p>
    <w:p w14:paraId="21E43B5D" w14:textId="6459D439" w:rsidR="00EF5CA4" w:rsidRDefault="00EF5CA4" w:rsidP="00EF5CA4">
      <w:pPr>
        <w:pStyle w:val="ListNumber"/>
        <w:numPr>
          <w:ilvl w:val="0"/>
          <w:numId w:val="0"/>
        </w:numPr>
        <w:ind w:left="624"/>
      </w:pPr>
      <w:r w:rsidRPr="00EF5CA4">
        <w:t xml:space="preserve">Users may also access eCase via Microsoft Edge or Internet Explorer, however this is discouraged as some </w:t>
      </w:r>
      <w:r w:rsidR="00B52A9E" w:rsidRPr="00EF5CA4">
        <w:t>function</w:t>
      </w:r>
      <w:r w:rsidR="00B52A9E">
        <w:t>s</w:t>
      </w:r>
      <w:r w:rsidR="00B52A9E" w:rsidRPr="00EF5CA4">
        <w:t xml:space="preserve"> </w:t>
      </w:r>
      <w:r w:rsidRPr="00EF5CA4">
        <w:t xml:space="preserve">may not be </w:t>
      </w:r>
      <w:r w:rsidR="00B52A9E">
        <w:t>available</w:t>
      </w:r>
      <w:r w:rsidRPr="00EF5CA4">
        <w:t xml:space="preserve">. </w:t>
      </w:r>
    </w:p>
    <w:p w14:paraId="59E2BC13" w14:textId="5ED17C6F" w:rsidR="00EF5CA4" w:rsidRPr="0074527F" w:rsidRDefault="00B52A9E" w:rsidP="00EF5CA4">
      <w:pPr>
        <w:pStyle w:val="Normalnumbered"/>
      </w:pPr>
      <w:r>
        <w:t>A</w:t>
      </w:r>
      <w:r w:rsidR="00B8427B">
        <w:t>ddressees and inspecting persons and parties</w:t>
      </w:r>
      <w:r>
        <w:t xml:space="preserve"> are encouraged to </w:t>
      </w:r>
      <w:r w:rsidR="00ED52B1" w:rsidRPr="0074527F">
        <w:t>register an account with eCase.</w:t>
      </w:r>
      <w:r w:rsidR="00B8427B">
        <w:t xml:space="preserve"> </w:t>
      </w:r>
      <w:r w:rsidR="00ED52B1" w:rsidRPr="0074527F">
        <w:t xml:space="preserve">Until this account registration has been approved, users may </w:t>
      </w:r>
      <w:r w:rsidR="00C25CEC">
        <w:t xml:space="preserve">only </w:t>
      </w:r>
      <w:r w:rsidR="00ED52B1" w:rsidRPr="0074527F">
        <w:t xml:space="preserve">respond to up to five subpoenas and file up to two objections. </w:t>
      </w:r>
      <w:r w:rsidR="00485531">
        <w:t>There is no limit for approved account holders</w:t>
      </w:r>
      <w:r w:rsidR="00C25CEC">
        <w:t xml:space="preserve">. </w:t>
      </w:r>
      <w:r w:rsidR="00ED52B1" w:rsidRPr="0074527F">
        <w:t xml:space="preserve">Users may not request to inspect any subpoena material until their account has been approved. </w:t>
      </w:r>
    </w:p>
    <w:p w14:paraId="042E07C1" w14:textId="6A18EF5C" w:rsidR="00ED52B1" w:rsidRDefault="00ED52B1" w:rsidP="00EF5CA4">
      <w:pPr>
        <w:pStyle w:val="Normalnumbered"/>
      </w:pPr>
      <w:r w:rsidRPr="0074527F">
        <w:t xml:space="preserve">Law firms are encouraged to create </w:t>
      </w:r>
      <w:r w:rsidR="00103014">
        <w:t>“</w:t>
      </w:r>
      <w:r w:rsidRPr="0074527F">
        <w:t>an organisation</w:t>
      </w:r>
      <w:r w:rsidR="00103014">
        <w:t>”</w:t>
      </w:r>
      <w:r w:rsidRPr="0074527F">
        <w:t xml:space="preserve"> in eCase. Once </w:t>
      </w:r>
      <w:r w:rsidR="00103014">
        <w:t>the</w:t>
      </w:r>
      <w:r w:rsidRPr="0074527F">
        <w:t xml:space="preserve"> organisation is approved by the Court any person registering with an email address with the same email domain will automatically be approved. Further, the organisation may be managed by the firm’s admin user, enabling them to deactivate users </w:t>
      </w:r>
      <w:r w:rsidR="0074527F">
        <w:t xml:space="preserve">within their firm </w:t>
      </w:r>
      <w:r w:rsidRPr="0074527F">
        <w:t xml:space="preserve">as required. </w:t>
      </w:r>
    </w:p>
    <w:p w14:paraId="2EDA4649" w14:textId="74DB5D8E" w:rsidR="0046325A" w:rsidRDefault="0046325A" w:rsidP="00EF5CA4">
      <w:pPr>
        <w:pStyle w:val="Normalnumbered"/>
      </w:pPr>
      <w:r>
        <w:t xml:space="preserve">The first time a user accesses eCase the portal will walk the user through all functionality available in the </w:t>
      </w:r>
      <w:r w:rsidR="00485531">
        <w:t>platform</w:t>
      </w:r>
      <w:r>
        <w:t xml:space="preserve">. Users are encouraged to complete this walkthrough before actioning any tasks </w:t>
      </w:r>
      <w:r w:rsidR="00485531">
        <w:t xml:space="preserve">using </w:t>
      </w:r>
      <w:r>
        <w:t xml:space="preserve">eCase. Additional guided walkthroughs are available to assist users in navigating eCase at any time. </w:t>
      </w:r>
    </w:p>
    <w:p w14:paraId="4F151E8D" w14:textId="31C124A8" w:rsidR="004B1683" w:rsidRDefault="004B1683" w:rsidP="00EF5CA4">
      <w:pPr>
        <w:pStyle w:val="Normalnumbered"/>
      </w:pPr>
      <w:r>
        <w:t>A</w:t>
      </w:r>
      <w:r w:rsidR="004906D3">
        <w:t xml:space="preserve">udit history will be maintained throughout the lifecycle of the solution. </w:t>
      </w:r>
    </w:p>
    <w:p w14:paraId="59A81EB1" w14:textId="2473122C" w:rsidR="00B52A9E" w:rsidRDefault="00B52A9E" w:rsidP="00B52A9E">
      <w:pPr>
        <w:pStyle w:val="Heading1"/>
      </w:pPr>
      <w:bookmarkStart w:id="1" w:name="_Toc49509246"/>
      <w:r>
        <w:t>Notice to be served with subpoena</w:t>
      </w:r>
      <w:bookmarkEnd w:id="1"/>
    </w:p>
    <w:p w14:paraId="6D8CD54F" w14:textId="46A6AD31" w:rsidR="00B52A9E" w:rsidRPr="00B52A9E" w:rsidRDefault="00B52A9E" w:rsidP="00B52A9E">
      <w:pPr>
        <w:pStyle w:val="Normalnumbered"/>
      </w:pPr>
      <w:r w:rsidRPr="00B52A9E">
        <w:t xml:space="preserve">Any party that has issued a subpoena to produce documents, must serve the </w:t>
      </w:r>
      <w:hyperlink r:id="rId8" w:history="1">
        <w:r w:rsidR="00547B87" w:rsidRPr="00547B87">
          <w:rPr>
            <w:rStyle w:val="Hyperlink"/>
          </w:rPr>
          <w:t>eCase electronic subpoenas: notice to addressees</w:t>
        </w:r>
      </w:hyperlink>
      <w:bookmarkStart w:id="2" w:name="_GoBack"/>
      <w:bookmarkEnd w:id="2"/>
      <w:r w:rsidRPr="00B52A9E">
        <w:t xml:space="preserve"> together with the subpoena. Parties should encourage addressees to respond to the subpoena by eCase. By correctly responding to a subpoena via eCase, the addressee will comply with Rules 42.06(4) and 42A.05(1) of the </w:t>
      </w:r>
      <w:r w:rsidRPr="00BD4FB6">
        <w:rPr>
          <w:i/>
          <w:iCs/>
        </w:rPr>
        <w:t>County Court Civil Procedure Rules</w:t>
      </w:r>
      <w:r w:rsidRPr="00B52A9E">
        <w:t xml:space="preserve"> 2018.</w:t>
      </w:r>
    </w:p>
    <w:p w14:paraId="39305F59" w14:textId="052A3F16" w:rsidR="001C343C" w:rsidRDefault="001C343C" w:rsidP="001C343C">
      <w:pPr>
        <w:pStyle w:val="Heading1"/>
      </w:pPr>
      <w:bookmarkStart w:id="3" w:name="_Toc49509247"/>
      <w:r>
        <w:t>Responding to a subpoena</w:t>
      </w:r>
      <w:bookmarkEnd w:id="3"/>
      <w:r>
        <w:t xml:space="preserve"> </w:t>
      </w:r>
    </w:p>
    <w:p w14:paraId="40C2DAC0" w14:textId="7D7476B5" w:rsidR="001C343C" w:rsidRDefault="0074527F" w:rsidP="00485531">
      <w:pPr>
        <w:pStyle w:val="Normalnumbered"/>
      </w:pPr>
      <w:r>
        <w:t xml:space="preserve">Subpoenaed addressees </w:t>
      </w:r>
      <w:r w:rsidR="00B8427B">
        <w:t>should</w:t>
      </w:r>
      <w:r>
        <w:t xml:space="preserve"> use eCase to respond to a subpoena</w:t>
      </w:r>
      <w:r w:rsidR="00B8427B">
        <w:t xml:space="preserve"> unless it is </w:t>
      </w:r>
      <w:r w:rsidR="00485531">
        <w:t>impractical to do so.</w:t>
      </w:r>
      <w:r w:rsidR="008F3920">
        <w:t xml:space="preserve"> </w:t>
      </w:r>
      <w:r w:rsidR="001C343C">
        <w:t xml:space="preserve">Subpoenaed </w:t>
      </w:r>
      <w:r w:rsidR="00E03216">
        <w:t>a</w:t>
      </w:r>
      <w:r w:rsidR="001C343C">
        <w:t xml:space="preserve">ddressees are able to respond to a subpoena via </w:t>
      </w:r>
      <w:r w:rsidR="00E972E3">
        <w:t>eCase</w:t>
      </w:r>
      <w:r w:rsidR="001C343C">
        <w:t xml:space="preserve"> </w:t>
      </w:r>
      <w:r w:rsidR="00E03216">
        <w:t>in any of the following ways</w:t>
      </w:r>
      <w:r w:rsidR="001C343C">
        <w:t>:</w:t>
      </w:r>
    </w:p>
    <w:p w14:paraId="705E8EED" w14:textId="47C6EEF1" w:rsidR="001C343C" w:rsidRDefault="001C343C" w:rsidP="008F3920">
      <w:pPr>
        <w:pStyle w:val="ListNumber"/>
      </w:pPr>
      <w:r>
        <w:t>Complying with the subpoena by producing the subpoena material, without objecting to the inspection of any of this material;</w:t>
      </w:r>
    </w:p>
    <w:p w14:paraId="3D802ED9" w14:textId="0E19E89D" w:rsidR="001C343C" w:rsidRDefault="001C343C" w:rsidP="008F3920">
      <w:pPr>
        <w:pStyle w:val="ListNumber"/>
      </w:pPr>
      <w:r>
        <w:t>Complying with the subpoena by producing the subpoena material, while objecting to the inspection of any or all of this material;</w:t>
      </w:r>
    </w:p>
    <w:p w14:paraId="7F4CDCE5" w14:textId="68EF8D0D" w:rsidR="001C343C" w:rsidRDefault="001C343C" w:rsidP="008F3920">
      <w:pPr>
        <w:pStyle w:val="ListNumber"/>
      </w:pPr>
      <w:r>
        <w:t>Complying with the subpoena by advising that none of the subpoenaed material has been found; or</w:t>
      </w:r>
    </w:p>
    <w:p w14:paraId="28A24025" w14:textId="49031599" w:rsidR="001C343C" w:rsidRDefault="001C343C" w:rsidP="008F3920">
      <w:pPr>
        <w:pStyle w:val="ListNumber"/>
      </w:pPr>
      <w:r>
        <w:lastRenderedPageBreak/>
        <w:t xml:space="preserve">Objecting to complying with the subpoena. </w:t>
      </w:r>
    </w:p>
    <w:p w14:paraId="795C66C3" w14:textId="4CAB4320" w:rsidR="00485531" w:rsidRDefault="00C25CEC" w:rsidP="008F3920">
      <w:pPr>
        <w:pStyle w:val="Normalnumbered"/>
      </w:pPr>
      <w:bookmarkStart w:id="4" w:name="_Hlk48906223"/>
      <w:r>
        <w:t xml:space="preserve">If an addressee does not have any material to produce in response to the subpoena, the addressee should select “No Material Found”. </w:t>
      </w:r>
      <w:r w:rsidR="00485531">
        <w:t xml:space="preserve">The addressee should then upload a cover letter </w:t>
      </w:r>
      <w:r w:rsidR="007D6F27">
        <w:t>explaining</w:t>
      </w:r>
      <w:r w:rsidR="008F3920">
        <w:t xml:space="preserve"> </w:t>
      </w:r>
      <w:r w:rsidR="00485531">
        <w:t>that no material was found</w:t>
      </w:r>
      <w:r w:rsidR="008F3920">
        <w:t>.</w:t>
      </w:r>
    </w:p>
    <w:p w14:paraId="67BDBBD7" w14:textId="2B403DAD" w:rsidR="00485531" w:rsidRDefault="00485531" w:rsidP="00485531">
      <w:pPr>
        <w:pStyle w:val="Normalnumbered"/>
      </w:pPr>
      <w:r>
        <w:t>If an addressee has subpoenaed material to produce in response to the subpoena, (even if the addressee is objecting to producing some of the documents sought, or objecting to inspection), the addressee should select “Produce Materials (Inc. any objection to inspection)”.</w:t>
      </w:r>
    </w:p>
    <w:p w14:paraId="6C92A767" w14:textId="7BA81049" w:rsidR="00485531" w:rsidRDefault="00485531" w:rsidP="00485531">
      <w:pPr>
        <w:pStyle w:val="Normalnumbered"/>
      </w:pPr>
      <w:r>
        <w:t>The following documents should then be uploaded by the addressee:</w:t>
      </w:r>
    </w:p>
    <w:p w14:paraId="7985AE83" w14:textId="14D312FB" w:rsidR="00485531" w:rsidRDefault="00485531" w:rsidP="00485531">
      <w:pPr>
        <w:pStyle w:val="ListNumber"/>
      </w:pPr>
      <w:r>
        <w:t>The documents produced in response to the subpoena;</w:t>
      </w:r>
    </w:p>
    <w:p w14:paraId="008BDAE3" w14:textId="598753EC" w:rsidR="00485531" w:rsidRDefault="00485531" w:rsidP="00485531">
      <w:pPr>
        <w:pStyle w:val="ListNumber"/>
      </w:pPr>
      <w:r>
        <w:t>A cover letter, where required to explain the grounds for an objection (see section 4 below) or to explain that some documents have not been found; and</w:t>
      </w:r>
    </w:p>
    <w:p w14:paraId="37AB726E" w14:textId="1CAA7948" w:rsidR="00485531" w:rsidRDefault="00485531">
      <w:pPr>
        <w:pStyle w:val="ListNumber"/>
      </w:pPr>
      <w:r>
        <w:t xml:space="preserve">A copy of the Form 42B, Form 42C or Form 42AA subpoena with the “declaration by addressee” completed. </w:t>
      </w:r>
    </w:p>
    <w:p w14:paraId="52FB9253" w14:textId="02AA892E" w:rsidR="00BD4FB6" w:rsidRDefault="00BD4FB6" w:rsidP="00BD4FB6">
      <w:pPr>
        <w:pStyle w:val="Normalnumbered"/>
      </w:pPr>
      <w:r>
        <w:t xml:space="preserve">If an addressee refuses to produce all of the material, then the addressee should select “Object to comply options”. In such circumstances, the addressee will have to provide grounds for the objection and upload a covering letter explaining the grounds of objection to production. </w:t>
      </w:r>
    </w:p>
    <w:bookmarkEnd w:id="4"/>
    <w:p w14:paraId="43877511" w14:textId="6C9DCF04" w:rsidR="006137C0" w:rsidRPr="000E0943" w:rsidRDefault="000E0943" w:rsidP="001C343C">
      <w:pPr>
        <w:pStyle w:val="Normalnumbered"/>
      </w:pPr>
      <w:r w:rsidRPr="000E0943">
        <w:t>Addressees may produce subpoena</w:t>
      </w:r>
      <w:r w:rsidR="00485531">
        <w:t>ed</w:t>
      </w:r>
      <w:r w:rsidRPr="000E0943">
        <w:t xml:space="preserve"> material via eCase in any of the following formats:</w:t>
      </w:r>
    </w:p>
    <w:p w14:paraId="46617267" w14:textId="2352F787" w:rsidR="000E0943" w:rsidRDefault="000E0943" w:rsidP="000E0943">
      <w:pPr>
        <w:pStyle w:val="ListNumber"/>
      </w:pPr>
      <w:r>
        <w:t>.doc and .docx</w:t>
      </w:r>
      <w:r w:rsidR="00172B58">
        <w:t xml:space="preserve"> – </w:t>
      </w:r>
      <w:r>
        <w:t>Microsoft Word documents</w:t>
      </w:r>
    </w:p>
    <w:p w14:paraId="66F712A2" w14:textId="40EEAE04" w:rsidR="000E0943" w:rsidRDefault="000E0943" w:rsidP="000E0943">
      <w:pPr>
        <w:pStyle w:val="ListNumber"/>
      </w:pPr>
      <w:r>
        <w:t>.pdf</w:t>
      </w:r>
      <w:r w:rsidR="00172B58">
        <w:t xml:space="preserve"> – </w:t>
      </w:r>
      <w:r>
        <w:t xml:space="preserve">Adobe Acrobat documents  </w:t>
      </w:r>
    </w:p>
    <w:p w14:paraId="2A1B096C" w14:textId="1F969D3B" w:rsidR="000E0943" w:rsidRDefault="000E0943" w:rsidP="000E0943">
      <w:pPr>
        <w:pStyle w:val="ListNumber"/>
      </w:pPr>
      <w:r>
        <w:t>.</w:t>
      </w:r>
      <w:proofErr w:type="spellStart"/>
      <w:r>
        <w:t>xls</w:t>
      </w:r>
      <w:proofErr w:type="spellEnd"/>
      <w:r>
        <w:t xml:space="preserve"> and .xlsx</w:t>
      </w:r>
      <w:r w:rsidR="00172B58">
        <w:t xml:space="preserve"> – </w:t>
      </w:r>
      <w:r>
        <w:t xml:space="preserve">Microsoft Excel spreadsheets  </w:t>
      </w:r>
    </w:p>
    <w:p w14:paraId="7B6FF302" w14:textId="701AA8BD" w:rsidR="000E0943" w:rsidRDefault="000E0943" w:rsidP="000E0943">
      <w:pPr>
        <w:pStyle w:val="ListNumber"/>
      </w:pPr>
      <w:r>
        <w:t>.jpg</w:t>
      </w:r>
      <w:r w:rsidR="00172B58">
        <w:t xml:space="preserve"> – </w:t>
      </w:r>
      <w:r>
        <w:t xml:space="preserve">image files  </w:t>
      </w:r>
    </w:p>
    <w:p w14:paraId="45ED6AF8" w14:textId="49C83F5D" w:rsidR="000E0943" w:rsidRDefault="000E0943" w:rsidP="000E0943">
      <w:pPr>
        <w:pStyle w:val="ListNumber"/>
      </w:pPr>
      <w:r>
        <w:t>.rtf</w:t>
      </w:r>
      <w:r w:rsidR="00172B58">
        <w:t xml:space="preserve"> – </w:t>
      </w:r>
      <w:r>
        <w:t xml:space="preserve">rich text format  </w:t>
      </w:r>
    </w:p>
    <w:p w14:paraId="2B41ACFA" w14:textId="2233B16C" w:rsidR="000E0943" w:rsidRDefault="000E0943" w:rsidP="000E0943">
      <w:pPr>
        <w:pStyle w:val="ListNumber"/>
      </w:pPr>
      <w:r>
        <w:t>.gif</w:t>
      </w:r>
      <w:r w:rsidR="00172B58">
        <w:t xml:space="preserve"> – </w:t>
      </w:r>
      <w:r>
        <w:t xml:space="preserve">graphics interchange format  </w:t>
      </w:r>
    </w:p>
    <w:p w14:paraId="0125478C" w14:textId="342A3F85" w:rsidR="000E0943" w:rsidRDefault="000E0943" w:rsidP="000E0943">
      <w:pPr>
        <w:pStyle w:val="ListNumber"/>
      </w:pPr>
      <w:r>
        <w:t>.</w:t>
      </w:r>
      <w:proofErr w:type="spellStart"/>
      <w:r>
        <w:t>tif</w:t>
      </w:r>
      <w:proofErr w:type="spellEnd"/>
      <w:r w:rsidR="00172B58">
        <w:t xml:space="preserve"> – </w:t>
      </w:r>
      <w:r>
        <w:t>tagged image format.</w:t>
      </w:r>
    </w:p>
    <w:p w14:paraId="69B6D35F" w14:textId="7D1BC6BC" w:rsidR="000E0943" w:rsidRDefault="000E0943" w:rsidP="000E0943">
      <w:pPr>
        <w:pStyle w:val="Normalnumbered"/>
        <w:numPr>
          <w:ilvl w:val="0"/>
          <w:numId w:val="0"/>
        </w:numPr>
        <w:ind w:left="576"/>
      </w:pPr>
      <w:r>
        <w:t xml:space="preserve">If an addressee </w:t>
      </w:r>
      <w:r w:rsidR="00485531">
        <w:t>wishes</w:t>
      </w:r>
      <w:r>
        <w:t xml:space="preserve"> to produce material in any </w:t>
      </w:r>
      <w:r w:rsidR="00485531">
        <w:t xml:space="preserve">file </w:t>
      </w:r>
      <w:r>
        <w:t xml:space="preserve">format other than listed above, the addressee may contact the Court’s Subpoena Team for alternative ways to comply with the subpoena. </w:t>
      </w:r>
    </w:p>
    <w:p w14:paraId="76B0F48A" w14:textId="670FC99A" w:rsidR="00485531" w:rsidRDefault="00485531" w:rsidP="00485531">
      <w:pPr>
        <w:pStyle w:val="Normalnumbered"/>
      </w:pPr>
      <w:r>
        <w:t>An addressee may classify material produced in response to a subpoena as:</w:t>
      </w:r>
    </w:p>
    <w:p w14:paraId="63B60776" w14:textId="3C8EE117" w:rsidR="00485531" w:rsidRDefault="00485531" w:rsidP="00485531">
      <w:pPr>
        <w:pStyle w:val="ListNumber"/>
      </w:pPr>
      <w:r>
        <w:t>“objected”: for more information, see section 4 of this practice note;</w:t>
      </w:r>
    </w:p>
    <w:p w14:paraId="505E103D" w14:textId="6AB894D3" w:rsidR="00485531" w:rsidRDefault="00485531" w:rsidP="00485531">
      <w:pPr>
        <w:pStyle w:val="ListNumber"/>
      </w:pPr>
      <w:r>
        <w:t xml:space="preserve">“redacted”: the addressee </w:t>
      </w:r>
      <w:r w:rsidRPr="00485531">
        <w:t>will then be prompted to advise if it will also produce an unredacted version of the file. An addressee providing both a redacted and an unredacted version of the same material will be taken to have objected to inspection of the unredacted version and is requested to provide a ground for the objection. If an addressee provides a redacted version only and does not classify the material as ‘objected’, the Court wil</w:t>
      </w:r>
      <w:r>
        <w:t xml:space="preserve">l </w:t>
      </w:r>
      <w:r w:rsidRPr="00485531">
        <w:t xml:space="preserve">assume no objection is made </w:t>
      </w:r>
      <w:r>
        <w:t>to the release of the document;</w:t>
      </w:r>
    </w:p>
    <w:p w14:paraId="4632434F" w14:textId="55DEC93B" w:rsidR="00485531" w:rsidRDefault="003E4098" w:rsidP="00BD4FB6">
      <w:pPr>
        <w:pStyle w:val="ListNumber"/>
      </w:pPr>
      <w:r>
        <w:t>“medical material”: m</w:t>
      </w:r>
      <w:r w:rsidRPr="003E4098">
        <w:t xml:space="preserve">edical material includes but is not limited to: hospital and medical practitioner records, treatment records, history cards, clinical notes, Medicare records, discharge summaries, HR sick leave records, x-ray and x-ray reports, pathology, pharmacist </w:t>
      </w:r>
      <w:r w:rsidRPr="003E4098">
        <w:lastRenderedPageBreak/>
        <w:t>records, psychology reports, diagnostic test results, worker’s compensation records, physiotherapist reports, TAC records, insurance, correspondence, doctor referrals, specialists reports and operation reports.</w:t>
      </w:r>
    </w:p>
    <w:p w14:paraId="48E73292" w14:textId="08517722" w:rsidR="001C343C" w:rsidRPr="007B4501" w:rsidRDefault="001C343C" w:rsidP="001C343C">
      <w:pPr>
        <w:pStyle w:val="Heading1"/>
      </w:pPr>
      <w:bookmarkStart w:id="5" w:name="_Toc49509248"/>
      <w:r w:rsidRPr="007B4501">
        <w:t>Objections</w:t>
      </w:r>
      <w:bookmarkEnd w:id="5"/>
    </w:p>
    <w:p w14:paraId="39CC9FB9" w14:textId="2B92220F" w:rsidR="003E4098" w:rsidRDefault="003E4098" w:rsidP="001C343C">
      <w:pPr>
        <w:pStyle w:val="Normalnumbered"/>
      </w:pPr>
      <w:r>
        <w:t>Where a</w:t>
      </w:r>
      <w:r w:rsidR="0074527F" w:rsidRPr="00DB7E2D">
        <w:t xml:space="preserve">n addressee </w:t>
      </w:r>
      <w:r>
        <w:t>objects</w:t>
      </w:r>
      <w:r w:rsidR="0074527F" w:rsidRPr="00DB7E2D">
        <w:t xml:space="preserve"> to </w:t>
      </w:r>
      <w:r>
        <w:t>producing documents in response to a subpoena</w:t>
      </w:r>
      <w:r w:rsidR="0074527F" w:rsidRPr="00DB7E2D">
        <w:t xml:space="preserve"> via eCase</w:t>
      </w:r>
      <w:r>
        <w:t>:</w:t>
      </w:r>
      <w:r w:rsidR="00F70314" w:rsidRPr="00DB7E2D">
        <w:t xml:space="preserve"> </w:t>
      </w:r>
    </w:p>
    <w:p w14:paraId="2C77BA4A" w14:textId="74493791" w:rsidR="003E4098" w:rsidRDefault="003E4098" w:rsidP="003E4098">
      <w:pPr>
        <w:pStyle w:val="ListNumber"/>
      </w:pPr>
      <w:r>
        <w:t>a</w:t>
      </w:r>
      <w:r w:rsidR="00F70314" w:rsidRPr="00DB7E2D">
        <w:t xml:space="preserve">ny such objection </w:t>
      </w:r>
      <w:r>
        <w:t>must</w:t>
      </w:r>
      <w:r w:rsidR="00F70314" w:rsidRPr="00DB7E2D">
        <w:t xml:space="preserve"> be made </w:t>
      </w:r>
      <w:r>
        <w:t xml:space="preserve">on or </w:t>
      </w:r>
      <w:r w:rsidR="00F70314" w:rsidRPr="00DB7E2D">
        <w:t>before the production date provided in the subpoena</w:t>
      </w:r>
      <w:r>
        <w:t>;</w:t>
      </w:r>
    </w:p>
    <w:p w14:paraId="25ABD97E" w14:textId="00576352" w:rsidR="003E4098" w:rsidRDefault="003E4098" w:rsidP="003E4098">
      <w:pPr>
        <w:pStyle w:val="ListNumber"/>
      </w:pPr>
      <w:r>
        <w:t>t</w:t>
      </w:r>
      <w:r w:rsidR="0074527F" w:rsidRPr="00DB7E2D">
        <w:t xml:space="preserve">he addressee </w:t>
      </w:r>
      <w:r>
        <w:t xml:space="preserve">must </w:t>
      </w:r>
      <w:r w:rsidR="0074527F" w:rsidRPr="00DB7E2D">
        <w:t>upload a cover letter in support</w:t>
      </w:r>
      <w:r>
        <w:t>;</w:t>
      </w:r>
      <w:r w:rsidR="0074527F" w:rsidRPr="00DB7E2D">
        <w:t xml:space="preserve"> and </w:t>
      </w:r>
    </w:p>
    <w:p w14:paraId="7E2F75D8" w14:textId="7E562A21" w:rsidR="003E4098" w:rsidRDefault="003E4098" w:rsidP="003E4098">
      <w:pPr>
        <w:pStyle w:val="ListNumber"/>
      </w:pPr>
      <w:r>
        <w:t>the</w:t>
      </w:r>
      <w:r w:rsidR="0074527F" w:rsidRPr="00DB7E2D">
        <w:t xml:space="preserve"> </w:t>
      </w:r>
      <w:r>
        <w:t xml:space="preserve">addressee will be prompted to </w:t>
      </w:r>
      <w:r w:rsidR="0074527F" w:rsidRPr="00DB7E2D">
        <w:t xml:space="preserve">select a ground for objection. If the addressee has multiple grounds for its objection or a ground that is not listed, the addressee may user the “other” ground </w:t>
      </w:r>
      <w:r w:rsidR="0070146C">
        <w:t xml:space="preserve">option </w:t>
      </w:r>
      <w:r w:rsidR="0074527F" w:rsidRPr="00DB7E2D">
        <w:t>and enter the reason/s for objection in the text field</w:t>
      </w:r>
      <w:r>
        <w:t>; and</w:t>
      </w:r>
    </w:p>
    <w:p w14:paraId="52B46328" w14:textId="1F393270" w:rsidR="001C343C" w:rsidRPr="00DB7E2D" w:rsidRDefault="003E4098" w:rsidP="00BD4FB6">
      <w:pPr>
        <w:pStyle w:val="ListNumber"/>
      </w:pPr>
      <w:r>
        <w:t>t</w:t>
      </w:r>
      <w:r w:rsidR="00EC1574" w:rsidRPr="00DB7E2D">
        <w:t xml:space="preserve">he matter will </w:t>
      </w:r>
      <w:r w:rsidR="002D2F6A" w:rsidRPr="00DB7E2D">
        <w:t xml:space="preserve">then </w:t>
      </w:r>
      <w:r w:rsidR="00EC1574" w:rsidRPr="00DB7E2D">
        <w:t>be referred to a Judicial Officer.</w:t>
      </w:r>
      <w:r w:rsidR="00FB51A2" w:rsidRPr="00DB7E2D">
        <w:t xml:space="preserve"> </w:t>
      </w:r>
    </w:p>
    <w:p w14:paraId="0EBE9103" w14:textId="3B5F1E50" w:rsidR="003E4098" w:rsidRDefault="003E4098" w:rsidP="00846D9B">
      <w:pPr>
        <w:pStyle w:val="Normalnumbered"/>
      </w:pPr>
      <w:r>
        <w:t xml:space="preserve">Where </w:t>
      </w:r>
      <w:r w:rsidR="001C36FD">
        <w:t xml:space="preserve">an </w:t>
      </w:r>
      <w:r w:rsidR="001C36FD" w:rsidRPr="00DB7E2D">
        <w:t>addressee</w:t>
      </w:r>
      <w:r w:rsidR="002D2F6A" w:rsidRPr="00DB7E2D">
        <w:t xml:space="preserve"> object</w:t>
      </w:r>
      <w:r>
        <w:t>s</w:t>
      </w:r>
      <w:r w:rsidR="002D2F6A" w:rsidRPr="00DB7E2D">
        <w:t xml:space="preserve"> to</w:t>
      </w:r>
      <w:r>
        <w:t xml:space="preserve"> the</w:t>
      </w:r>
      <w:r w:rsidR="002D2F6A" w:rsidRPr="00DB7E2D">
        <w:t xml:space="preserve"> inspection of any material produced in response to the subpoena</w:t>
      </w:r>
      <w:r>
        <w:t>:</w:t>
      </w:r>
    </w:p>
    <w:p w14:paraId="0223FBFC" w14:textId="17601521" w:rsidR="003E4098" w:rsidRDefault="003E4098" w:rsidP="003E4098">
      <w:pPr>
        <w:pStyle w:val="ListNumber"/>
      </w:pPr>
      <w:r>
        <w:t>a</w:t>
      </w:r>
      <w:r w:rsidR="00F70314" w:rsidRPr="00DB7E2D">
        <w:t xml:space="preserve">ny such objection </w:t>
      </w:r>
      <w:r>
        <w:t>must</w:t>
      </w:r>
      <w:r w:rsidR="00F70314" w:rsidRPr="00DB7E2D">
        <w:t xml:space="preserve"> be made </w:t>
      </w:r>
      <w:r>
        <w:t xml:space="preserve">on or </w:t>
      </w:r>
      <w:r w:rsidR="00F70314" w:rsidRPr="00DB7E2D">
        <w:t>before the date for production provided in the subpoena</w:t>
      </w:r>
      <w:r>
        <w:t>;</w:t>
      </w:r>
      <w:r w:rsidR="002D2F6A" w:rsidRPr="00DB7E2D">
        <w:t xml:space="preserve"> </w:t>
      </w:r>
    </w:p>
    <w:p w14:paraId="306C2FB4" w14:textId="07EDC741" w:rsidR="003E4098" w:rsidRDefault="003E4098" w:rsidP="003E4098">
      <w:pPr>
        <w:pStyle w:val="ListNumber"/>
      </w:pPr>
      <w:r>
        <w:t>t</w:t>
      </w:r>
      <w:r w:rsidR="002D2F6A" w:rsidRPr="00DB7E2D">
        <w:t xml:space="preserve">he addressee </w:t>
      </w:r>
      <w:r>
        <w:t>must</w:t>
      </w:r>
      <w:r w:rsidR="002D2F6A" w:rsidRPr="00DB7E2D">
        <w:t xml:space="preserve"> upload a cover letter</w:t>
      </w:r>
      <w:r>
        <w:t xml:space="preserve"> explaining the grounds for objection and the documents to which it applies;</w:t>
      </w:r>
    </w:p>
    <w:p w14:paraId="099FDF6E" w14:textId="61B53706" w:rsidR="003E4098" w:rsidRDefault="003E4098" w:rsidP="003E4098">
      <w:pPr>
        <w:pStyle w:val="ListNumber"/>
      </w:pPr>
      <w:r>
        <w:t>t</w:t>
      </w:r>
      <w:r w:rsidR="002D2F6A" w:rsidRPr="00DB7E2D">
        <w:t xml:space="preserve">he addressee </w:t>
      </w:r>
      <w:r>
        <w:t>should</w:t>
      </w:r>
      <w:r w:rsidR="002D2F6A" w:rsidRPr="00DB7E2D">
        <w:t xml:space="preserve"> combine all </w:t>
      </w:r>
      <w:r>
        <w:t>documents</w:t>
      </w:r>
      <w:r w:rsidR="002D2F6A" w:rsidRPr="00DB7E2D">
        <w:t xml:space="preserve"> with the same ground for objection in one file </w:t>
      </w:r>
      <w:r>
        <w:t>before</w:t>
      </w:r>
      <w:r w:rsidR="002D2F6A" w:rsidRPr="00DB7E2D">
        <w:t xml:space="preserve"> uploading </w:t>
      </w:r>
      <w:r>
        <w:t>it</w:t>
      </w:r>
      <w:r w:rsidRPr="00DB7E2D">
        <w:t xml:space="preserve"> </w:t>
      </w:r>
      <w:r w:rsidR="002D2F6A" w:rsidRPr="00DB7E2D">
        <w:t>to eCase.</w:t>
      </w:r>
      <w:r w:rsidR="00FB51A2" w:rsidRPr="00DB7E2D">
        <w:t xml:space="preserve"> </w:t>
      </w:r>
    </w:p>
    <w:p w14:paraId="527B6102" w14:textId="0735550A" w:rsidR="003E4098" w:rsidRDefault="003E4098" w:rsidP="003E4098">
      <w:pPr>
        <w:pStyle w:val="ListNumber"/>
      </w:pPr>
      <w:r>
        <w:t xml:space="preserve">addressees will be prompted to select a ground for objection. </w:t>
      </w:r>
      <w:r w:rsidR="002D2F6A" w:rsidRPr="00DB7E2D">
        <w:t>If the addressee has multiple grounds for objection or a ground that is not listed, the addressee may user the “other” ground and enter the reason/s for objection in the text field</w:t>
      </w:r>
      <w:r>
        <w:t>; and</w:t>
      </w:r>
      <w:r w:rsidR="002D2F6A" w:rsidRPr="00DB7E2D">
        <w:t xml:space="preserve"> </w:t>
      </w:r>
    </w:p>
    <w:p w14:paraId="3DFACBB9" w14:textId="5A3E8D2C" w:rsidR="002D2F6A" w:rsidRPr="00DB7E2D" w:rsidRDefault="003E4098" w:rsidP="00BD4FB6">
      <w:pPr>
        <w:pStyle w:val="ListNumber"/>
      </w:pPr>
      <w:r>
        <w:t>t</w:t>
      </w:r>
      <w:r w:rsidR="002D2F6A" w:rsidRPr="00DB7E2D">
        <w:t xml:space="preserve">he matter will then be referred to a Judicial Officer. </w:t>
      </w:r>
      <w:r>
        <w:t>Where an objection to inspection has been made, the relevant documents</w:t>
      </w:r>
      <w:r w:rsidRPr="00DB7E2D">
        <w:t xml:space="preserve"> </w:t>
      </w:r>
      <w:r w:rsidR="00FB51A2" w:rsidRPr="00DB7E2D">
        <w:t>will not be release</w:t>
      </w:r>
      <w:r w:rsidR="007B4501">
        <w:t xml:space="preserve">d </w:t>
      </w:r>
      <w:r w:rsidR="00FB51A2" w:rsidRPr="00DB7E2D">
        <w:t>for inspection</w:t>
      </w:r>
      <w:r>
        <w:t xml:space="preserve"> without a Court order.</w:t>
      </w:r>
    </w:p>
    <w:p w14:paraId="7521203F" w14:textId="73F344ED" w:rsidR="003E4098" w:rsidRDefault="003E4098" w:rsidP="00D200AD">
      <w:pPr>
        <w:pStyle w:val="Normalnumbered"/>
      </w:pPr>
      <w:r>
        <w:t>Where a</w:t>
      </w:r>
      <w:r w:rsidR="00FB51A2" w:rsidRPr="00DB7E2D">
        <w:t xml:space="preserve"> </w:t>
      </w:r>
      <w:r w:rsidR="00F70314" w:rsidRPr="00DB7E2D">
        <w:t>p</w:t>
      </w:r>
      <w:r w:rsidR="00FB51A2" w:rsidRPr="00DB7E2D">
        <w:t xml:space="preserve">arty </w:t>
      </w:r>
      <w:r w:rsidR="0015231F">
        <w:t xml:space="preserve">or person with a sufficient interest </w:t>
      </w:r>
      <w:r>
        <w:t>objects</w:t>
      </w:r>
      <w:r w:rsidR="00FB51A2" w:rsidRPr="00DB7E2D">
        <w:t xml:space="preserve"> to inspection of any material produced in response to the subpoena via eCase</w:t>
      </w:r>
      <w:r>
        <w:t>:</w:t>
      </w:r>
      <w:r w:rsidR="00F70314" w:rsidRPr="00DB7E2D">
        <w:t xml:space="preserve"> </w:t>
      </w:r>
    </w:p>
    <w:p w14:paraId="5FA283BC" w14:textId="07CDDDF9" w:rsidR="003E4098" w:rsidRDefault="003E4098" w:rsidP="003E4098">
      <w:pPr>
        <w:pStyle w:val="ListNumber"/>
      </w:pPr>
      <w:r>
        <w:t>a</w:t>
      </w:r>
      <w:r w:rsidR="00A07E8C" w:rsidRPr="00DB7E2D">
        <w:t xml:space="preserve">ny objection to </w:t>
      </w:r>
      <w:r>
        <w:t>the inspection of</w:t>
      </w:r>
      <w:r w:rsidRPr="00DB7E2D">
        <w:t xml:space="preserve"> </w:t>
      </w:r>
      <w:r w:rsidR="00A07E8C" w:rsidRPr="00DB7E2D">
        <w:t>medical material must be made within 14 days after the production date by the Plaintiff, or by 4pm on the day before the production date by any other party</w:t>
      </w:r>
      <w:r w:rsidR="0070146C">
        <w:t xml:space="preserve"> or </w:t>
      </w:r>
      <w:r w:rsidR="0015231F">
        <w:t>other person with a sufficient interest</w:t>
      </w:r>
      <w:r>
        <w:t>;</w:t>
      </w:r>
    </w:p>
    <w:p w14:paraId="66D47A4B" w14:textId="2162CEFC" w:rsidR="003A0231" w:rsidRDefault="003E4098" w:rsidP="003E4098">
      <w:pPr>
        <w:pStyle w:val="ListNumber"/>
      </w:pPr>
      <w:r>
        <w:t>t</w:t>
      </w:r>
      <w:r w:rsidR="00FB51A2" w:rsidRPr="00DB7E2D">
        <w:t xml:space="preserve">he </w:t>
      </w:r>
      <w:r>
        <w:t>objector must</w:t>
      </w:r>
      <w:r w:rsidR="00FB51A2" w:rsidRPr="00DB7E2D">
        <w:t xml:space="preserve"> upload a cover letter </w:t>
      </w:r>
      <w:r>
        <w:t>explaining the grounds for objection and identifying the particular documents to which the objection applies</w:t>
      </w:r>
      <w:r w:rsidR="003A0231">
        <w:t>;</w:t>
      </w:r>
      <w:r w:rsidR="00FB51A2" w:rsidRPr="00DB7E2D">
        <w:t xml:space="preserve"> </w:t>
      </w:r>
    </w:p>
    <w:p w14:paraId="2A959AD5" w14:textId="24040502" w:rsidR="003A0231" w:rsidRDefault="003A0231" w:rsidP="003E4098">
      <w:pPr>
        <w:pStyle w:val="ListNumber"/>
      </w:pPr>
      <w:r>
        <w:t>an affidavit in support can also be uploaded, or (if the objector is a party) can be filed via CITEC or the Self-Represented Litigant Case Managers;</w:t>
      </w:r>
    </w:p>
    <w:p w14:paraId="6EA1ABEE" w14:textId="56630F9B" w:rsidR="003A0231" w:rsidRDefault="003A0231" w:rsidP="003E4098">
      <w:pPr>
        <w:pStyle w:val="ListNumber"/>
      </w:pPr>
      <w:r>
        <w:t>the objector will be prompted to</w:t>
      </w:r>
      <w:r w:rsidR="00FB51A2" w:rsidRPr="00DB7E2D">
        <w:t xml:space="preserve"> select a ground for objection. </w:t>
      </w:r>
      <w:r w:rsidR="00DB7E2D" w:rsidRPr="00DB7E2D">
        <w:t xml:space="preserve">If the </w:t>
      </w:r>
      <w:r w:rsidR="00DB7E2D">
        <w:t>party</w:t>
      </w:r>
      <w:r w:rsidR="00DB7E2D" w:rsidRPr="00DB7E2D">
        <w:t xml:space="preserve"> has multiple grounds for its objection or a ground that is not listed, the </w:t>
      </w:r>
      <w:r w:rsidR="00DB7E2D">
        <w:t>party</w:t>
      </w:r>
      <w:r w:rsidR="00DB7E2D" w:rsidRPr="00DB7E2D">
        <w:t xml:space="preserve"> may user the “other” ground and enter the reason/s for objection in the text field</w:t>
      </w:r>
      <w:r>
        <w:t>.</w:t>
      </w:r>
    </w:p>
    <w:p w14:paraId="6019A7A5" w14:textId="2A6B8D23" w:rsidR="00FB51A2" w:rsidRPr="00DB7E2D" w:rsidRDefault="003A0231" w:rsidP="00BD4FB6">
      <w:pPr>
        <w:pStyle w:val="ListNumber"/>
      </w:pPr>
      <w:r>
        <w:t>t</w:t>
      </w:r>
      <w:r w:rsidR="00FB51A2" w:rsidRPr="00DB7E2D">
        <w:t xml:space="preserve">he matter will then be referred to a Judicial Officer. </w:t>
      </w:r>
      <w:r>
        <w:t xml:space="preserve">Once an objection to inspection has </w:t>
      </w:r>
      <w:r>
        <w:lastRenderedPageBreak/>
        <w:t>been made, the relevant documents</w:t>
      </w:r>
      <w:r w:rsidR="00FB51A2" w:rsidRPr="00DB7E2D">
        <w:t xml:space="preserve"> will not be release</w:t>
      </w:r>
      <w:r w:rsidR="007B4501">
        <w:t>d</w:t>
      </w:r>
      <w:r w:rsidR="00FB51A2" w:rsidRPr="00DB7E2D">
        <w:t xml:space="preserve"> for inspection </w:t>
      </w:r>
      <w:r>
        <w:t>without a Court order</w:t>
      </w:r>
      <w:r w:rsidR="00FB51A2" w:rsidRPr="00DB7E2D">
        <w:t xml:space="preserve">. </w:t>
      </w:r>
    </w:p>
    <w:p w14:paraId="4BEE54A6" w14:textId="119547C6" w:rsidR="001C343C" w:rsidRDefault="009D7050" w:rsidP="00D76E7B">
      <w:pPr>
        <w:pStyle w:val="Normalnumbered"/>
      </w:pPr>
      <w:r>
        <w:t>If a party other than the plaintiff has subpoenaed the production of medical records concerning the plaintiff, the plaintiff has a right to inspect before any other party</w:t>
      </w:r>
      <w:r w:rsidR="00D76E7B">
        <w:t xml:space="preserve">, provided the plaintiff does so within 14 days after the date for production specified in the subpoena. </w:t>
      </w:r>
      <w:r w:rsidR="00F70314" w:rsidRPr="00DB7E2D">
        <w:t xml:space="preserve">If an addressee has not yet produced material by the date for production, the Plaintiff may lodge a non-compliance objection via eCase after the production date in order to reserve its right to first inspection. </w:t>
      </w:r>
    </w:p>
    <w:p w14:paraId="1996BFB8" w14:textId="70DB4CE6" w:rsidR="007B4501" w:rsidRPr="00D76E7B" w:rsidRDefault="00FB51A2" w:rsidP="00846D9B">
      <w:pPr>
        <w:pStyle w:val="Normalnumbered"/>
        <w:rPr>
          <w:color w:val="FF0000"/>
        </w:rPr>
      </w:pPr>
      <w:r w:rsidRPr="00DB7E2D">
        <w:t>Any</w:t>
      </w:r>
      <w:r w:rsidR="007B4501">
        <w:t xml:space="preserve"> addressee or party seeking to withdraw an</w:t>
      </w:r>
      <w:r w:rsidRPr="00DB7E2D">
        <w:t xml:space="preserve"> objection lodged via eCase must </w:t>
      </w:r>
      <w:r w:rsidR="007B4501">
        <w:t>do so via eCase. The addressee or party must provide a reason for the withdrawal of the objection. Once the objection withdrawal is approved by the Court, the</w:t>
      </w:r>
      <w:r w:rsidR="007B4501" w:rsidRPr="007B4501">
        <w:t xml:space="preserve"> objection will no longer be active and the material subject to </w:t>
      </w:r>
      <w:r w:rsidR="007B4501">
        <w:t>the</w:t>
      </w:r>
      <w:r w:rsidR="007B4501" w:rsidRPr="007B4501">
        <w:t xml:space="preserve"> objection may be released for inspection.</w:t>
      </w:r>
    </w:p>
    <w:p w14:paraId="6F7EBC59" w14:textId="19DC4332" w:rsidR="00D76E7B" w:rsidRDefault="00D76E7B" w:rsidP="00D76E7B">
      <w:pPr>
        <w:pStyle w:val="Normalnumbered"/>
      </w:pPr>
      <w:r>
        <w:t xml:space="preserve">Case Party objections can be lodged and withdrawn via the “Case Party objections” page in eCase. </w:t>
      </w:r>
    </w:p>
    <w:p w14:paraId="121C03F0" w14:textId="088A417D" w:rsidR="005D3F42" w:rsidRPr="007B4501" w:rsidRDefault="005D3F42" w:rsidP="005D3F42">
      <w:pPr>
        <w:pStyle w:val="Heading1"/>
      </w:pPr>
      <w:bookmarkStart w:id="6" w:name="_Toc49509249"/>
      <w:r w:rsidRPr="007B4501">
        <w:t>Inspection of subpoenaed material</w:t>
      </w:r>
      <w:bookmarkEnd w:id="6"/>
    </w:p>
    <w:p w14:paraId="57F1A4D8" w14:textId="7B12390D" w:rsidR="0046325A" w:rsidRDefault="0046325A" w:rsidP="0046325A">
      <w:pPr>
        <w:pStyle w:val="Normalnumbered"/>
      </w:pPr>
      <w:r w:rsidRPr="0046325A">
        <w:t xml:space="preserve">A party can check whether documents have been produced to the Court in response to a subpoena </w:t>
      </w:r>
      <w:r w:rsidR="003A0231">
        <w:t>via</w:t>
      </w:r>
      <w:r w:rsidRPr="0046325A">
        <w:t xml:space="preserve"> </w:t>
      </w:r>
      <w:hyperlink r:id="rId9" w:history="1">
        <w:r w:rsidRPr="00C25CEC">
          <w:rPr>
            <w:rStyle w:val="Hyperlink"/>
          </w:rPr>
          <w:t>Court Connect</w:t>
        </w:r>
      </w:hyperlink>
      <w:r w:rsidR="00C25CEC">
        <w:t>.</w:t>
      </w:r>
    </w:p>
    <w:p w14:paraId="7202BDD1" w14:textId="36D230F1" w:rsidR="0046325A" w:rsidRDefault="003A0231" w:rsidP="0046325A">
      <w:pPr>
        <w:pStyle w:val="Normalnumbered"/>
      </w:pPr>
      <w:r>
        <w:t xml:space="preserve">Before a </w:t>
      </w:r>
      <w:r w:rsidR="0046325A">
        <w:t xml:space="preserve">party </w:t>
      </w:r>
      <w:r>
        <w:t>can</w:t>
      </w:r>
      <w:r w:rsidR="0046325A">
        <w:t xml:space="preserve"> inspect subpoena material via eCase</w:t>
      </w:r>
      <w:r>
        <w:t>, they (or if there is a solicitor on the record, their solicitor)</w:t>
      </w:r>
      <w:r w:rsidR="0046325A">
        <w:t xml:space="preserve"> must register </w:t>
      </w:r>
      <w:r>
        <w:t xml:space="preserve">for </w:t>
      </w:r>
      <w:r w:rsidR="0046325A">
        <w:t xml:space="preserve">an account and this account must be approved by the Court. </w:t>
      </w:r>
    </w:p>
    <w:p w14:paraId="5542266F" w14:textId="6C23CABD" w:rsidR="003A0231" w:rsidRDefault="00423917" w:rsidP="0046325A">
      <w:pPr>
        <w:pStyle w:val="Normalnumbered"/>
      </w:pPr>
      <w:r>
        <w:t>A</w:t>
      </w:r>
      <w:r w:rsidR="003A0231">
        <w:t xml:space="preserve"> party can lodge a request to inspect any subpoenaed material via the “Inspect Subpoenaed Documents” page in eCase</w:t>
      </w:r>
      <w:r>
        <w:t>.</w:t>
      </w:r>
    </w:p>
    <w:p w14:paraId="4A8DD44F" w14:textId="7F527664" w:rsidR="00423917" w:rsidRDefault="003A0231" w:rsidP="0046325A">
      <w:pPr>
        <w:pStyle w:val="Normalnumbered"/>
      </w:pPr>
      <w:r>
        <w:t>Where an objection to inspection of subpoenaed material has been made, those documents cannot be inspected without a Court order</w:t>
      </w:r>
      <w:r w:rsidR="00423917">
        <w:t xml:space="preserve">. </w:t>
      </w:r>
    </w:p>
    <w:p w14:paraId="3FDEAD98" w14:textId="0D8A88C1" w:rsidR="00D76E7B" w:rsidRDefault="003A0231" w:rsidP="0046325A">
      <w:pPr>
        <w:pStyle w:val="Normalnumbered"/>
      </w:pPr>
      <w:r>
        <w:t xml:space="preserve">If a party is </w:t>
      </w:r>
      <w:r w:rsidR="00D76E7B">
        <w:t xml:space="preserve">seeking to inspect </w:t>
      </w:r>
      <w:r>
        <w:t xml:space="preserve">documents </w:t>
      </w:r>
      <w:r w:rsidR="00D76E7B">
        <w:t xml:space="preserve">on five or more subpoenas at once, </w:t>
      </w:r>
      <w:r>
        <w:t xml:space="preserve">they </w:t>
      </w:r>
      <w:r w:rsidR="00D76E7B">
        <w:t xml:space="preserve">may request inspection of electronic </w:t>
      </w:r>
      <w:r>
        <w:t xml:space="preserve">documents </w:t>
      </w:r>
      <w:r w:rsidR="00D76E7B">
        <w:t xml:space="preserve">via email to the Subpoena Team rather than submitting a request </w:t>
      </w:r>
      <w:r w:rsidR="00450829">
        <w:t>for each</w:t>
      </w:r>
      <w:r w:rsidR="00D76E7B">
        <w:t xml:space="preserve"> subpoena via eCase. If the request is approved, the Subpoena Team will release material for all subpoenas via a OneDrive link.</w:t>
      </w:r>
    </w:p>
    <w:p w14:paraId="0E5997BB" w14:textId="65796CB9" w:rsidR="005D3F42" w:rsidRPr="00CF14BE" w:rsidRDefault="0046325A" w:rsidP="005D3F42">
      <w:pPr>
        <w:pStyle w:val="Normalnumbered"/>
      </w:pPr>
      <w:r w:rsidRPr="00CF14BE">
        <w:t>Any electronic request for the inspection of subpoena</w:t>
      </w:r>
      <w:r w:rsidR="003A0231">
        <w:t>ed</w:t>
      </w:r>
      <w:r w:rsidRPr="00CF14BE">
        <w:t xml:space="preserve"> </w:t>
      </w:r>
      <w:r w:rsidR="003A0231">
        <w:t>documents</w:t>
      </w:r>
      <w:r w:rsidR="003A0231" w:rsidRPr="00CF14BE">
        <w:t xml:space="preserve"> </w:t>
      </w:r>
      <w:r w:rsidRPr="00CF14BE">
        <w:t xml:space="preserve">is deemed a “search for electronic files with copy” </w:t>
      </w:r>
      <w:r w:rsidR="003A0231">
        <w:t>for which</w:t>
      </w:r>
      <w:r w:rsidRPr="00CF14BE">
        <w:t xml:space="preserve"> a fee </w:t>
      </w:r>
      <w:r w:rsidR="003A0231">
        <w:t xml:space="preserve">of $14.80 </w:t>
      </w:r>
      <w:r w:rsidRPr="00CF14BE">
        <w:t>is payable</w:t>
      </w:r>
      <w:r w:rsidR="003A0231">
        <w:t xml:space="preserve"> under item 26 of the </w:t>
      </w:r>
      <w:r w:rsidR="003A0231">
        <w:rPr>
          <w:i/>
          <w:iCs/>
        </w:rPr>
        <w:t xml:space="preserve">County Court (Fees) Regulations </w:t>
      </w:r>
      <w:r w:rsidR="003A0231">
        <w:t>2018</w:t>
      </w:r>
      <w:r w:rsidRPr="00CF14BE">
        <w:t xml:space="preserve">. If a fee applies to </w:t>
      </w:r>
      <w:r w:rsidR="003A0231">
        <w:t>an</w:t>
      </w:r>
      <w:r w:rsidR="003A0231" w:rsidRPr="00CF14BE">
        <w:t xml:space="preserve"> </w:t>
      </w:r>
      <w:r w:rsidRPr="00CF14BE">
        <w:t xml:space="preserve">inspection request, the Court will contact </w:t>
      </w:r>
      <w:r w:rsidR="003A0231">
        <w:t>the requesting party</w:t>
      </w:r>
      <w:r w:rsidR="003A0231" w:rsidRPr="00CF14BE">
        <w:t xml:space="preserve"> </w:t>
      </w:r>
      <w:r w:rsidRPr="00CF14BE">
        <w:t xml:space="preserve">to arrange for payment via telephone. </w:t>
      </w:r>
      <w:r w:rsidR="00DB13C4" w:rsidRPr="00CF14BE">
        <w:t xml:space="preserve"> </w:t>
      </w:r>
    </w:p>
    <w:p w14:paraId="731E12A1" w14:textId="3AF649D7" w:rsidR="005D3F42" w:rsidRPr="00CF14BE" w:rsidRDefault="00D76E7B" w:rsidP="005D3F42">
      <w:pPr>
        <w:pStyle w:val="Normalnumbered"/>
      </w:pPr>
      <w:r w:rsidRPr="00CF14BE">
        <w:t xml:space="preserve">Once </w:t>
      </w:r>
      <w:r w:rsidR="003A0231">
        <w:t>a</w:t>
      </w:r>
      <w:r w:rsidR="003A0231" w:rsidRPr="00CF14BE">
        <w:t xml:space="preserve"> </w:t>
      </w:r>
      <w:r w:rsidRPr="00CF14BE">
        <w:t>request for inspection via eCase is approved</w:t>
      </w:r>
      <w:r w:rsidR="00CF14BE" w:rsidRPr="00CF14BE">
        <w:t xml:space="preserve"> by the Court</w:t>
      </w:r>
      <w:r w:rsidRPr="00CF14BE">
        <w:t xml:space="preserve">, </w:t>
      </w:r>
      <w:r w:rsidR="003A0231">
        <w:t>the party</w:t>
      </w:r>
      <w:r w:rsidR="003A0231" w:rsidRPr="00CF14BE">
        <w:t xml:space="preserve"> </w:t>
      </w:r>
      <w:r w:rsidRPr="00CF14BE">
        <w:t xml:space="preserve">will be able to view the </w:t>
      </w:r>
      <w:r w:rsidR="003A0231">
        <w:t>documents</w:t>
      </w:r>
      <w:r w:rsidR="003A0231" w:rsidRPr="00CF14BE">
        <w:t xml:space="preserve"> </w:t>
      </w:r>
      <w:r w:rsidRPr="00CF14BE">
        <w:t>by accessing the subpoena in the “My Inspections” list</w:t>
      </w:r>
      <w:r w:rsidR="00CF14BE" w:rsidRPr="00CF14BE">
        <w:t xml:space="preserve"> and clicking “View”</w:t>
      </w:r>
      <w:r w:rsidRPr="00CF14BE">
        <w:t>.</w:t>
      </w:r>
      <w:r w:rsidR="00CF14BE" w:rsidRPr="00CF14BE">
        <w:t xml:space="preserve"> If downloading is permitted, </w:t>
      </w:r>
      <w:r w:rsidR="003A0231">
        <w:t>the party</w:t>
      </w:r>
      <w:r w:rsidR="003A0231" w:rsidRPr="00CF14BE">
        <w:t xml:space="preserve"> </w:t>
      </w:r>
      <w:r w:rsidR="00CF14BE" w:rsidRPr="00CF14BE">
        <w:t xml:space="preserve">may download a copy of the document to a local source by clicking on the </w:t>
      </w:r>
      <w:r w:rsidR="003A0231">
        <w:t>“…”</w:t>
      </w:r>
      <w:r w:rsidR="003A0231" w:rsidRPr="00CF14BE">
        <w:t xml:space="preserve"> </w:t>
      </w:r>
      <w:r w:rsidR="00CF14BE" w:rsidRPr="00CF14BE">
        <w:t xml:space="preserve">at the top right of the document. </w:t>
      </w:r>
    </w:p>
    <w:p w14:paraId="3C748AD0" w14:textId="566E75B7" w:rsidR="00D76E7B" w:rsidRPr="00CF14BE" w:rsidRDefault="00D76E7B" w:rsidP="00D76E7B">
      <w:pPr>
        <w:pStyle w:val="Normalnumbered"/>
      </w:pPr>
      <w:r w:rsidRPr="00CF14BE">
        <w:t xml:space="preserve">Any person viewing or downloading </w:t>
      </w:r>
      <w:r w:rsidR="00310121">
        <w:t>documents</w:t>
      </w:r>
      <w:r w:rsidR="00310121" w:rsidRPr="00CF14BE">
        <w:t xml:space="preserve"> </w:t>
      </w:r>
      <w:r w:rsidRPr="00CF14BE">
        <w:t xml:space="preserve">via eCase is reminded of the continuing obligation to keep the </w:t>
      </w:r>
      <w:r w:rsidR="00310121">
        <w:t>documents</w:t>
      </w:r>
      <w:r w:rsidR="00310121" w:rsidRPr="00CF14BE">
        <w:t xml:space="preserve"> </w:t>
      </w:r>
      <w:r w:rsidRPr="00CF14BE">
        <w:t xml:space="preserve">secure and not use </w:t>
      </w:r>
      <w:r w:rsidR="00310121">
        <w:t>them</w:t>
      </w:r>
      <w:r w:rsidRPr="00CF14BE">
        <w:t xml:space="preserve"> for a collateral or ulterior purpose unconnected to the proceedings in which the subpoena was issued (the </w:t>
      </w:r>
      <w:r w:rsidRPr="00C25CEC">
        <w:rPr>
          <w:i/>
          <w:iCs/>
        </w:rPr>
        <w:t>Harman</w:t>
      </w:r>
      <w:r w:rsidRPr="00CF14BE">
        <w:t xml:space="preserve"> obligation in law</w:t>
      </w:r>
      <w:r w:rsidR="00103014">
        <w:rPr>
          <w:rStyle w:val="FootnoteReference"/>
        </w:rPr>
        <w:footnoteReference w:id="1"/>
      </w:r>
      <w:r w:rsidRPr="00CF14BE">
        <w:t xml:space="preserve">). Examples of collateral or ulterior purposes include using the </w:t>
      </w:r>
      <w:r w:rsidR="00310121">
        <w:t>documents</w:t>
      </w:r>
      <w:r w:rsidR="00310121" w:rsidRPr="00CF14BE">
        <w:t xml:space="preserve"> </w:t>
      </w:r>
      <w:r w:rsidRPr="00CF14BE">
        <w:t xml:space="preserve">in different proceedings, using the </w:t>
      </w:r>
      <w:r w:rsidR="00310121">
        <w:t>documents</w:t>
      </w:r>
      <w:r w:rsidR="00310121" w:rsidRPr="00CF14BE">
        <w:t xml:space="preserve"> </w:t>
      </w:r>
      <w:r w:rsidRPr="00CF14BE">
        <w:t>for a business reason, or disclosing the information</w:t>
      </w:r>
      <w:r w:rsidR="00310121">
        <w:t xml:space="preserve"> in documents</w:t>
      </w:r>
      <w:r w:rsidRPr="00CF14BE">
        <w:t xml:space="preserve"> to </w:t>
      </w:r>
      <w:r w:rsidR="00310121">
        <w:t>persons</w:t>
      </w:r>
      <w:r w:rsidRPr="00CF14BE">
        <w:t xml:space="preserve"> </w:t>
      </w:r>
      <w:r w:rsidRPr="00CF14BE">
        <w:lastRenderedPageBreak/>
        <w:t>unrelated to the proceeding.</w:t>
      </w:r>
    </w:p>
    <w:p w14:paraId="5CE202F3" w14:textId="3E07B1F6" w:rsidR="005D3F42" w:rsidRPr="00CF14BE" w:rsidRDefault="005D3F42" w:rsidP="005D3F42">
      <w:pPr>
        <w:pStyle w:val="Heading1"/>
      </w:pPr>
      <w:bookmarkStart w:id="7" w:name="_Toc49509250"/>
      <w:r w:rsidRPr="00CF14BE">
        <w:t>Destruction of subpoenaed material</w:t>
      </w:r>
      <w:bookmarkEnd w:id="7"/>
    </w:p>
    <w:p w14:paraId="54A3B4E2" w14:textId="05883B99" w:rsidR="00F64345" w:rsidRPr="00CF14BE" w:rsidRDefault="00310121" w:rsidP="00F64345">
      <w:pPr>
        <w:pStyle w:val="Normalnumbered"/>
      </w:pPr>
      <w:r>
        <w:t>A</w:t>
      </w:r>
      <w:r w:rsidR="00F64345" w:rsidRPr="00CF14BE">
        <w:t xml:space="preserve"> document produced via eCase is a copy document</w:t>
      </w:r>
      <w:r>
        <w:t>, not an original document</w:t>
      </w:r>
      <w:r w:rsidR="00F64345" w:rsidRPr="00CF14BE">
        <w:t xml:space="preserve">. </w:t>
      </w:r>
      <w:r>
        <w:t>D</w:t>
      </w:r>
      <w:r w:rsidR="00DB13C4" w:rsidRPr="00CF14BE">
        <w:t>ocument</w:t>
      </w:r>
      <w:r w:rsidR="002671B0">
        <w:t>s</w:t>
      </w:r>
      <w:r w:rsidR="00DB13C4" w:rsidRPr="00CF14BE">
        <w:t xml:space="preserve"> produced via eCase</w:t>
      </w:r>
      <w:r w:rsidR="00F64345" w:rsidRPr="00CF14BE">
        <w:t xml:space="preserve"> will be destroyed by the Registrar after the expir</w:t>
      </w:r>
      <w:r w:rsidR="00DB13C4" w:rsidRPr="00CF14BE">
        <w:t>y</w:t>
      </w:r>
      <w:r w:rsidR="00F64345" w:rsidRPr="00CF14BE">
        <w:t xml:space="preserve"> of four months from the conclusion of the proceeding, or if the documents become exhibits in the proceeding, when they are no longer required in connection with the proceeding. </w:t>
      </w:r>
    </w:p>
    <w:p w14:paraId="096B92B2" w14:textId="4901B94C" w:rsidR="00DB13C4" w:rsidRDefault="00DB13C4" w:rsidP="00F64345">
      <w:pPr>
        <w:pStyle w:val="Normalnumbered"/>
      </w:pPr>
      <w:r w:rsidRPr="00CF14BE">
        <w:t xml:space="preserve">Documents produced via eCase will be deleted from all of the Court’s systems in accordance with paragraph 5.1. However, historical data will remain available.  </w:t>
      </w:r>
    </w:p>
    <w:p w14:paraId="622E8627" w14:textId="71F6DEB9" w:rsidR="00310121" w:rsidRPr="00CF14BE" w:rsidRDefault="00310121" w:rsidP="008F3920">
      <w:pPr>
        <w:pStyle w:val="Heading1"/>
      </w:pPr>
      <w:bookmarkStart w:id="8" w:name="_Toc49509251"/>
      <w:r>
        <w:t>Contact details</w:t>
      </w:r>
      <w:bookmarkEnd w:id="8"/>
    </w:p>
    <w:p w14:paraId="33D9058C" w14:textId="51E987E6" w:rsidR="00B419D1" w:rsidRPr="009524E0" w:rsidRDefault="00036D2D" w:rsidP="008F3920">
      <w:pPr>
        <w:pStyle w:val="Normalnumbered"/>
      </w:pPr>
      <w:r w:rsidRPr="009524E0">
        <w:t xml:space="preserve">For further information regarding </w:t>
      </w:r>
      <w:r w:rsidR="00475949">
        <w:t>Subpoenas and eCase,</w:t>
      </w:r>
      <w:r w:rsidRPr="009524E0">
        <w:t xml:space="preserve"> please contact </w:t>
      </w:r>
      <w:r w:rsidR="00475949">
        <w:t>the Subpoena Team</w:t>
      </w:r>
      <w:r w:rsidRPr="009524E0">
        <w:t xml:space="preserve"> on </w:t>
      </w:r>
      <w:r w:rsidR="00475949">
        <w:t xml:space="preserve">03 8636 6525 </w:t>
      </w:r>
      <w:r w:rsidRPr="009524E0">
        <w:t xml:space="preserve">or email </w:t>
      </w:r>
      <w:hyperlink r:id="rId10" w:history="1">
        <w:r w:rsidR="00820D81" w:rsidRPr="00820D81">
          <w:rPr>
            <w:rStyle w:val="Hyperlink"/>
          </w:rPr>
          <w:t>subpoenas@countycourt.vic.gov.au</w:t>
        </w:r>
      </w:hyperlink>
      <w:r w:rsidR="00E84D0E" w:rsidRPr="009524E0">
        <w:t>.</w:t>
      </w:r>
    </w:p>
    <w:sectPr w:rsidR="00B419D1" w:rsidRPr="009524E0" w:rsidSect="008B2B76">
      <w:headerReference w:type="default" r:id="rId11"/>
      <w:footerReference w:type="even" r:id="rId12"/>
      <w:footerReference w:type="default" r:id="rId13"/>
      <w:headerReference w:type="first" r:id="rId14"/>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E19FA" w14:textId="77777777" w:rsidR="009267DF" w:rsidRDefault="009267DF" w:rsidP="00B164F3">
      <w:r>
        <w:separator/>
      </w:r>
    </w:p>
  </w:endnote>
  <w:endnote w:type="continuationSeparator" w:id="0">
    <w:p w14:paraId="298C863C" w14:textId="77777777" w:rsidR="009267DF" w:rsidRDefault="009267DF"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E6CE3" w14:textId="77777777" w:rsidR="00BA732C" w:rsidRDefault="00BA732C" w:rsidP="005924DB">
    <w:pPr>
      <w:pStyle w:val="Footer"/>
    </w:pPr>
  </w:p>
  <w:p w14:paraId="7FB42803"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0C363BED" w14:textId="2A2D5676" w:rsidR="002E514B" w:rsidRPr="005751D0" w:rsidRDefault="002E514B" w:rsidP="002E514B">
        <w:pPr>
          <w:pStyle w:val="Footer"/>
        </w:pPr>
        <w:r w:rsidRPr="005751D0">
          <w:t>County Court of Victoria</w:t>
        </w:r>
        <w:r w:rsidRPr="00820D81">
          <w:rPr>
            <w:sz w:val="32"/>
            <w:szCs w:val="32"/>
          </w:rPr>
          <w:t xml:space="preserve"> </w:t>
        </w:r>
        <w:r w:rsidR="00172B58" w:rsidRPr="005751D0">
          <w:t>|</w:t>
        </w:r>
        <w:r w:rsidR="00172B58" w:rsidRPr="00820D81">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p w14:paraId="17A5B7E2"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4C31B" w14:textId="77777777" w:rsidR="009267DF" w:rsidRDefault="009267DF" w:rsidP="00B164F3">
      <w:r>
        <w:separator/>
      </w:r>
    </w:p>
  </w:footnote>
  <w:footnote w:type="continuationSeparator" w:id="0">
    <w:p w14:paraId="6BB63D24" w14:textId="77777777" w:rsidR="009267DF" w:rsidRDefault="009267DF" w:rsidP="00B164F3">
      <w:r>
        <w:continuationSeparator/>
      </w:r>
    </w:p>
  </w:footnote>
  <w:footnote w:id="1">
    <w:p w14:paraId="7DD82C83" w14:textId="565A077A" w:rsidR="00103014" w:rsidRDefault="00103014">
      <w:pPr>
        <w:pStyle w:val="FootnoteText"/>
      </w:pPr>
      <w:r>
        <w:rPr>
          <w:rStyle w:val="FootnoteReference"/>
        </w:rPr>
        <w:footnoteRef/>
      </w:r>
      <w:r>
        <w:t xml:space="preserve"> </w:t>
      </w:r>
      <w:r w:rsidRPr="00103014">
        <w:rPr>
          <w:i/>
          <w:iCs/>
        </w:rPr>
        <w:t>Harman v Secretary of State for Home Dept</w:t>
      </w:r>
      <w:r>
        <w:t xml:space="preserve"> [1983] 1 AC 28</w:t>
      </w:r>
      <w:r w:rsidR="00E22A3E">
        <w:t>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038F" w14:textId="5302B6D8" w:rsidR="00BA732C" w:rsidRPr="00E87D86" w:rsidRDefault="00172B58" w:rsidP="00E87D86">
    <w:pPr>
      <w:pStyle w:val="Header"/>
      <w:tabs>
        <w:tab w:val="right" w:pos="10065"/>
      </w:tabs>
    </w:pPr>
    <w:r>
      <w:t>eCase: electronic subpoenas</w:t>
    </w:r>
    <w:r w:rsidR="00E87D86" w:rsidRPr="00E87D86">
      <w:tab/>
    </w:r>
  </w:p>
  <w:p w14:paraId="0ADC6B88" w14:textId="77777777" w:rsidR="008C522A" w:rsidRDefault="008C5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56A09"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473B7E7B" wp14:editId="5070205B">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A15226"/>
    <w:multiLevelType w:val="hybridMultilevel"/>
    <w:tmpl w:val="A53C9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FD75A20"/>
    <w:multiLevelType w:val="multilevel"/>
    <w:tmpl w:val="96E0957C"/>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color w:val="auto"/>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4"/>
  </w:num>
  <w:num w:numId="4">
    <w:abstractNumId w:val="12"/>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3"/>
  </w:num>
  <w:num w:numId="13">
    <w:abstractNumId w:val="15"/>
  </w:num>
  <w:num w:numId="14">
    <w:abstractNumId w:val="16"/>
  </w:num>
  <w:num w:numId="15">
    <w:abstractNumId w:val="4"/>
  </w:num>
  <w:num w:numId="16">
    <w:abstractNumId w:val="9"/>
  </w:num>
  <w:num w:numId="17">
    <w:abstractNumId w:val="2"/>
  </w:num>
  <w:num w:numId="18">
    <w:abstractNumId w:val="3"/>
  </w:num>
  <w:num w:numId="19">
    <w:abstractNumId w:val="16"/>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11"/>
  </w:num>
  <w:num w:numId="2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DB"/>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93248"/>
    <w:rsid w:val="000A206C"/>
    <w:rsid w:val="000A490A"/>
    <w:rsid w:val="000A5FA0"/>
    <w:rsid w:val="000A61FC"/>
    <w:rsid w:val="000A6A15"/>
    <w:rsid w:val="000B0FD8"/>
    <w:rsid w:val="000B1C0D"/>
    <w:rsid w:val="000B6EC1"/>
    <w:rsid w:val="000C2927"/>
    <w:rsid w:val="000C4F4F"/>
    <w:rsid w:val="000C6992"/>
    <w:rsid w:val="000C78C4"/>
    <w:rsid w:val="000D638E"/>
    <w:rsid w:val="000E0943"/>
    <w:rsid w:val="000E1B45"/>
    <w:rsid w:val="000E7D3D"/>
    <w:rsid w:val="000F3D26"/>
    <w:rsid w:val="000F7BA1"/>
    <w:rsid w:val="001004E1"/>
    <w:rsid w:val="00100AAE"/>
    <w:rsid w:val="0010218B"/>
    <w:rsid w:val="00103014"/>
    <w:rsid w:val="001043E0"/>
    <w:rsid w:val="00106610"/>
    <w:rsid w:val="00110359"/>
    <w:rsid w:val="001145C7"/>
    <w:rsid w:val="001277E8"/>
    <w:rsid w:val="00140A01"/>
    <w:rsid w:val="0014321E"/>
    <w:rsid w:val="0014385D"/>
    <w:rsid w:val="00143B68"/>
    <w:rsid w:val="001443F0"/>
    <w:rsid w:val="001453FC"/>
    <w:rsid w:val="0015231F"/>
    <w:rsid w:val="00153A2D"/>
    <w:rsid w:val="001575CC"/>
    <w:rsid w:val="00164908"/>
    <w:rsid w:val="00165513"/>
    <w:rsid w:val="00171DAF"/>
    <w:rsid w:val="00172B58"/>
    <w:rsid w:val="00172BC9"/>
    <w:rsid w:val="0017325E"/>
    <w:rsid w:val="00176333"/>
    <w:rsid w:val="00177235"/>
    <w:rsid w:val="00177CB9"/>
    <w:rsid w:val="00185030"/>
    <w:rsid w:val="001864D5"/>
    <w:rsid w:val="00196072"/>
    <w:rsid w:val="001A413E"/>
    <w:rsid w:val="001A5858"/>
    <w:rsid w:val="001B2D39"/>
    <w:rsid w:val="001B3508"/>
    <w:rsid w:val="001C1815"/>
    <w:rsid w:val="001C2786"/>
    <w:rsid w:val="001C2B59"/>
    <w:rsid w:val="001C343C"/>
    <w:rsid w:val="001C36FD"/>
    <w:rsid w:val="001D14D1"/>
    <w:rsid w:val="001D3204"/>
    <w:rsid w:val="001D5F5A"/>
    <w:rsid w:val="001E04EB"/>
    <w:rsid w:val="001F109E"/>
    <w:rsid w:val="001F4CEB"/>
    <w:rsid w:val="001F7990"/>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671B0"/>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12BE"/>
    <w:rsid w:val="002D2F6A"/>
    <w:rsid w:val="002D550E"/>
    <w:rsid w:val="002E3AD3"/>
    <w:rsid w:val="002E514B"/>
    <w:rsid w:val="002E56CF"/>
    <w:rsid w:val="002E7520"/>
    <w:rsid w:val="002E7966"/>
    <w:rsid w:val="002F2742"/>
    <w:rsid w:val="002F3278"/>
    <w:rsid w:val="00301B74"/>
    <w:rsid w:val="00305026"/>
    <w:rsid w:val="00310121"/>
    <w:rsid w:val="0031315E"/>
    <w:rsid w:val="003138F5"/>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11DB"/>
    <w:rsid w:val="0035276C"/>
    <w:rsid w:val="00357ED8"/>
    <w:rsid w:val="00361115"/>
    <w:rsid w:val="00363DED"/>
    <w:rsid w:val="0036697D"/>
    <w:rsid w:val="003771C7"/>
    <w:rsid w:val="003771ED"/>
    <w:rsid w:val="00380BA2"/>
    <w:rsid w:val="00382A99"/>
    <w:rsid w:val="00384FE6"/>
    <w:rsid w:val="003911BC"/>
    <w:rsid w:val="003916F7"/>
    <w:rsid w:val="0039208E"/>
    <w:rsid w:val="00394AB9"/>
    <w:rsid w:val="00394C8C"/>
    <w:rsid w:val="0039582C"/>
    <w:rsid w:val="003A0231"/>
    <w:rsid w:val="003A3703"/>
    <w:rsid w:val="003A7062"/>
    <w:rsid w:val="003B1E6F"/>
    <w:rsid w:val="003B2331"/>
    <w:rsid w:val="003B3144"/>
    <w:rsid w:val="003B6520"/>
    <w:rsid w:val="003B6A4D"/>
    <w:rsid w:val="003B6BC8"/>
    <w:rsid w:val="003E1C04"/>
    <w:rsid w:val="003E22EF"/>
    <w:rsid w:val="003E2B04"/>
    <w:rsid w:val="003E4098"/>
    <w:rsid w:val="003F4481"/>
    <w:rsid w:val="003F509D"/>
    <w:rsid w:val="004050BD"/>
    <w:rsid w:val="004055C5"/>
    <w:rsid w:val="00407814"/>
    <w:rsid w:val="0042084C"/>
    <w:rsid w:val="00423917"/>
    <w:rsid w:val="004244C9"/>
    <w:rsid w:val="0042655D"/>
    <w:rsid w:val="004341EC"/>
    <w:rsid w:val="004356A9"/>
    <w:rsid w:val="004405AB"/>
    <w:rsid w:val="00440CD8"/>
    <w:rsid w:val="0044748E"/>
    <w:rsid w:val="00450829"/>
    <w:rsid w:val="00457FCC"/>
    <w:rsid w:val="004613BD"/>
    <w:rsid w:val="0046325A"/>
    <w:rsid w:val="004672A3"/>
    <w:rsid w:val="00473B62"/>
    <w:rsid w:val="00475949"/>
    <w:rsid w:val="00484806"/>
    <w:rsid w:val="00484AA5"/>
    <w:rsid w:val="00484B52"/>
    <w:rsid w:val="00485531"/>
    <w:rsid w:val="0048638F"/>
    <w:rsid w:val="004906D3"/>
    <w:rsid w:val="00490AA4"/>
    <w:rsid w:val="00495474"/>
    <w:rsid w:val="004967BE"/>
    <w:rsid w:val="004A0277"/>
    <w:rsid w:val="004A14E6"/>
    <w:rsid w:val="004A42E7"/>
    <w:rsid w:val="004A5587"/>
    <w:rsid w:val="004B11EF"/>
    <w:rsid w:val="004B1683"/>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37BA"/>
    <w:rsid w:val="00535263"/>
    <w:rsid w:val="0054011C"/>
    <w:rsid w:val="00540486"/>
    <w:rsid w:val="005428DB"/>
    <w:rsid w:val="00545239"/>
    <w:rsid w:val="00545D7A"/>
    <w:rsid w:val="00546EBB"/>
    <w:rsid w:val="00547B87"/>
    <w:rsid w:val="00550023"/>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36A8"/>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0C28"/>
    <w:rsid w:val="005D2583"/>
    <w:rsid w:val="005D2F47"/>
    <w:rsid w:val="005D3F42"/>
    <w:rsid w:val="005E3D6F"/>
    <w:rsid w:val="005E5FCB"/>
    <w:rsid w:val="00602B6A"/>
    <w:rsid w:val="00602D23"/>
    <w:rsid w:val="006118C3"/>
    <w:rsid w:val="006137C0"/>
    <w:rsid w:val="00615CE3"/>
    <w:rsid w:val="0061601F"/>
    <w:rsid w:val="00620F1C"/>
    <w:rsid w:val="00621DEE"/>
    <w:rsid w:val="00626530"/>
    <w:rsid w:val="006276AC"/>
    <w:rsid w:val="00627A68"/>
    <w:rsid w:val="0063085D"/>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4B48"/>
    <w:rsid w:val="00685119"/>
    <w:rsid w:val="00686E52"/>
    <w:rsid w:val="00695BF4"/>
    <w:rsid w:val="006B3E14"/>
    <w:rsid w:val="006B5340"/>
    <w:rsid w:val="006B73B5"/>
    <w:rsid w:val="006C1AC6"/>
    <w:rsid w:val="006C7FCA"/>
    <w:rsid w:val="006D1A04"/>
    <w:rsid w:val="006E2E4A"/>
    <w:rsid w:val="006E30A7"/>
    <w:rsid w:val="006E4567"/>
    <w:rsid w:val="006F0476"/>
    <w:rsid w:val="006F1585"/>
    <w:rsid w:val="006F58C4"/>
    <w:rsid w:val="006F795F"/>
    <w:rsid w:val="0070146C"/>
    <w:rsid w:val="00707BDD"/>
    <w:rsid w:val="00713521"/>
    <w:rsid w:val="00735F3F"/>
    <w:rsid w:val="00736F43"/>
    <w:rsid w:val="00741CDE"/>
    <w:rsid w:val="007438F2"/>
    <w:rsid w:val="0074527F"/>
    <w:rsid w:val="00752AEA"/>
    <w:rsid w:val="007539D7"/>
    <w:rsid w:val="00756D80"/>
    <w:rsid w:val="0076662C"/>
    <w:rsid w:val="00766CD0"/>
    <w:rsid w:val="007727AB"/>
    <w:rsid w:val="00774A13"/>
    <w:rsid w:val="00774C6B"/>
    <w:rsid w:val="00774D53"/>
    <w:rsid w:val="007912BA"/>
    <w:rsid w:val="007971F3"/>
    <w:rsid w:val="007A2267"/>
    <w:rsid w:val="007B3164"/>
    <w:rsid w:val="007B4501"/>
    <w:rsid w:val="007B79E1"/>
    <w:rsid w:val="007C0CBA"/>
    <w:rsid w:val="007C4912"/>
    <w:rsid w:val="007C6A7E"/>
    <w:rsid w:val="007C71AA"/>
    <w:rsid w:val="007D0FF8"/>
    <w:rsid w:val="007D19DB"/>
    <w:rsid w:val="007D33D5"/>
    <w:rsid w:val="007D3631"/>
    <w:rsid w:val="007D6F27"/>
    <w:rsid w:val="007F0EBA"/>
    <w:rsid w:val="007F655A"/>
    <w:rsid w:val="007F669A"/>
    <w:rsid w:val="007F7053"/>
    <w:rsid w:val="007F7230"/>
    <w:rsid w:val="007F7487"/>
    <w:rsid w:val="00800141"/>
    <w:rsid w:val="00801636"/>
    <w:rsid w:val="00801884"/>
    <w:rsid w:val="00802831"/>
    <w:rsid w:val="00811F36"/>
    <w:rsid w:val="00813C61"/>
    <w:rsid w:val="00820D81"/>
    <w:rsid w:val="0082206D"/>
    <w:rsid w:val="00833820"/>
    <w:rsid w:val="00840E0B"/>
    <w:rsid w:val="008413FA"/>
    <w:rsid w:val="0084656F"/>
    <w:rsid w:val="00846D9B"/>
    <w:rsid w:val="008500B0"/>
    <w:rsid w:val="00850687"/>
    <w:rsid w:val="00851086"/>
    <w:rsid w:val="00851A75"/>
    <w:rsid w:val="00852693"/>
    <w:rsid w:val="00861B1A"/>
    <w:rsid w:val="00862ECC"/>
    <w:rsid w:val="008727F0"/>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F0B41"/>
    <w:rsid w:val="008F18CB"/>
    <w:rsid w:val="008F3920"/>
    <w:rsid w:val="00903E2B"/>
    <w:rsid w:val="00906FB3"/>
    <w:rsid w:val="00920DC6"/>
    <w:rsid w:val="0092191D"/>
    <w:rsid w:val="009243DE"/>
    <w:rsid w:val="009267DF"/>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D7050"/>
    <w:rsid w:val="009E049B"/>
    <w:rsid w:val="009E39E6"/>
    <w:rsid w:val="009F56BD"/>
    <w:rsid w:val="009F5932"/>
    <w:rsid w:val="009F59B0"/>
    <w:rsid w:val="009F795A"/>
    <w:rsid w:val="00A03E5F"/>
    <w:rsid w:val="00A07E8C"/>
    <w:rsid w:val="00A121FE"/>
    <w:rsid w:val="00A1691E"/>
    <w:rsid w:val="00A2205A"/>
    <w:rsid w:val="00A2296D"/>
    <w:rsid w:val="00A262CC"/>
    <w:rsid w:val="00A2726A"/>
    <w:rsid w:val="00A31CFB"/>
    <w:rsid w:val="00A32B44"/>
    <w:rsid w:val="00A4116A"/>
    <w:rsid w:val="00A45F5D"/>
    <w:rsid w:val="00A64442"/>
    <w:rsid w:val="00A673D8"/>
    <w:rsid w:val="00A67A76"/>
    <w:rsid w:val="00A708FF"/>
    <w:rsid w:val="00A761B6"/>
    <w:rsid w:val="00A772F5"/>
    <w:rsid w:val="00A8609E"/>
    <w:rsid w:val="00A90FF7"/>
    <w:rsid w:val="00A962E5"/>
    <w:rsid w:val="00AA0C12"/>
    <w:rsid w:val="00AA1E25"/>
    <w:rsid w:val="00AA37D5"/>
    <w:rsid w:val="00AA7938"/>
    <w:rsid w:val="00AB6154"/>
    <w:rsid w:val="00AB654C"/>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47147"/>
    <w:rsid w:val="00B52A9E"/>
    <w:rsid w:val="00B535D2"/>
    <w:rsid w:val="00B6380C"/>
    <w:rsid w:val="00B7045E"/>
    <w:rsid w:val="00B82A43"/>
    <w:rsid w:val="00B834E8"/>
    <w:rsid w:val="00B8427B"/>
    <w:rsid w:val="00B8508E"/>
    <w:rsid w:val="00B85B42"/>
    <w:rsid w:val="00B901B9"/>
    <w:rsid w:val="00B97F08"/>
    <w:rsid w:val="00BA3CBF"/>
    <w:rsid w:val="00BA4602"/>
    <w:rsid w:val="00BA732C"/>
    <w:rsid w:val="00BB05C1"/>
    <w:rsid w:val="00BB0F8F"/>
    <w:rsid w:val="00BB2508"/>
    <w:rsid w:val="00BB6E23"/>
    <w:rsid w:val="00BC44E6"/>
    <w:rsid w:val="00BC5547"/>
    <w:rsid w:val="00BD2D14"/>
    <w:rsid w:val="00BD4FB6"/>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5CEC"/>
    <w:rsid w:val="00C27050"/>
    <w:rsid w:val="00C278BE"/>
    <w:rsid w:val="00C27C22"/>
    <w:rsid w:val="00C3151A"/>
    <w:rsid w:val="00C34893"/>
    <w:rsid w:val="00C369D2"/>
    <w:rsid w:val="00C428C6"/>
    <w:rsid w:val="00C44AA9"/>
    <w:rsid w:val="00C458D2"/>
    <w:rsid w:val="00C52C9A"/>
    <w:rsid w:val="00C5350E"/>
    <w:rsid w:val="00C536ED"/>
    <w:rsid w:val="00C601EB"/>
    <w:rsid w:val="00C64B93"/>
    <w:rsid w:val="00C6637F"/>
    <w:rsid w:val="00C66E6E"/>
    <w:rsid w:val="00C67BF2"/>
    <w:rsid w:val="00C70BAE"/>
    <w:rsid w:val="00C70D20"/>
    <w:rsid w:val="00C77FCC"/>
    <w:rsid w:val="00C851BF"/>
    <w:rsid w:val="00C85DF0"/>
    <w:rsid w:val="00C868A6"/>
    <w:rsid w:val="00C87481"/>
    <w:rsid w:val="00C94597"/>
    <w:rsid w:val="00CA23F0"/>
    <w:rsid w:val="00CB2244"/>
    <w:rsid w:val="00CB4B18"/>
    <w:rsid w:val="00CB7316"/>
    <w:rsid w:val="00CC4AFF"/>
    <w:rsid w:val="00CD30AC"/>
    <w:rsid w:val="00CD3342"/>
    <w:rsid w:val="00CE428B"/>
    <w:rsid w:val="00CE4E4F"/>
    <w:rsid w:val="00CE71C9"/>
    <w:rsid w:val="00CE77C5"/>
    <w:rsid w:val="00CF14BE"/>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D02"/>
    <w:rsid w:val="00D76E7B"/>
    <w:rsid w:val="00D81616"/>
    <w:rsid w:val="00D86535"/>
    <w:rsid w:val="00D87F06"/>
    <w:rsid w:val="00D91811"/>
    <w:rsid w:val="00DA69D8"/>
    <w:rsid w:val="00DB1147"/>
    <w:rsid w:val="00DB13C4"/>
    <w:rsid w:val="00DB19DF"/>
    <w:rsid w:val="00DB273A"/>
    <w:rsid w:val="00DB7426"/>
    <w:rsid w:val="00DB7E2D"/>
    <w:rsid w:val="00DC054B"/>
    <w:rsid w:val="00DD2AC0"/>
    <w:rsid w:val="00DE42AF"/>
    <w:rsid w:val="00DE4352"/>
    <w:rsid w:val="00DE6842"/>
    <w:rsid w:val="00DF0C15"/>
    <w:rsid w:val="00DF1509"/>
    <w:rsid w:val="00DF1E7F"/>
    <w:rsid w:val="00DF3ED4"/>
    <w:rsid w:val="00E009D1"/>
    <w:rsid w:val="00E0128E"/>
    <w:rsid w:val="00E01BA9"/>
    <w:rsid w:val="00E03216"/>
    <w:rsid w:val="00E03504"/>
    <w:rsid w:val="00E03ED5"/>
    <w:rsid w:val="00E050D1"/>
    <w:rsid w:val="00E061E0"/>
    <w:rsid w:val="00E12885"/>
    <w:rsid w:val="00E155F2"/>
    <w:rsid w:val="00E21E9D"/>
    <w:rsid w:val="00E22A3E"/>
    <w:rsid w:val="00E250FC"/>
    <w:rsid w:val="00E333E8"/>
    <w:rsid w:val="00E40D02"/>
    <w:rsid w:val="00E43E39"/>
    <w:rsid w:val="00E539A4"/>
    <w:rsid w:val="00E5522E"/>
    <w:rsid w:val="00E6012F"/>
    <w:rsid w:val="00E60B65"/>
    <w:rsid w:val="00E77CAD"/>
    <w:rsid w:val="00E84D0E"/>
    <w:rsid w:val="00E87D86"/>
    <w:rsid w:val="00E93770"/>
    <w:rsid w:val="00E93AAD"/>
    <w:rsid w:val="00E93C87"/>
    <w:rsid w:val="00E93DD0"/>
    <w:rsid w:val="00E948FA"/>
    <w:rsid w:val="00E96265"/>
    <w:rsid w:val="00E972E3"/>
    <w:rsid w:val="00E97760"/>
    <w:rsid w:val="00EA4F12"/>
    <w:rsid w:val="00EA57B2"/>
    <w:rsid w:val="00EB16C1"/>
    <w:rsid w:val="00EB4E8A"/>
    <w:rsid w:val="00EB6DDE"/>
    <w:rsid w:val="00EC0A05"/>
    <w:rsid w:val="00EC1574"/>
    <w:rsid w:val="00EC27EE"/>
    <w:rsid w:val="00EC2DA5"/>
    <w:rsid w:val="00EC3CDE"/>
    <w:rsid w:val="00EC4B23"/>
    <w:rsid w:val="00EC7250"/>
    <w:rsid w:val="00ED0568"/>
    <w:rsid w:val="00ED05FB"/>
    <w:rsid w:val="00ED0D5B"/>
    <w:rsid w:val="00ED1C7A"/>
    <w:rsid w:val="00ED4D5C"/>
    <w:rsid w:val="00ED52B1"/>
    <w:rsid w:val="00ED77E8"/>
    <w:rsid w:val="00EE1303"/>
    <w:rsid w:val="00EE3978"/>
    <w:rsid w:val="00EE3AF8"/>
    <w:rsid w:val="00EE40E7"/>
    <w:rsid w:val="00EE6E97"/>
    <w:rsid w:val="00EF2B38"/>
    <w:rsid w:val="00EF5CA4"/>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345"/>
    <w:rsid w:val="00F6452A"/>
    <w:rsid w:val="00F6462B"/>
    <w:rsid w:val="00F70314"/>
    <w:rsid w:val="00F7280F"/>
    <w:rsid w:val="00F732F0"/>
    <w:rsid w:val="00F8394C"/>
    <w:rsid w:val="00F9435C"/>
    <w:rsid w:val="00F962F7"/>
    <w:rsid w:val="00FA1D3D"/>
    <w:rsid w:val="00FA3E82"/>
    <w:rsid w:val="00FA56E0"/>
    <w:rsid w:val="00FB1FA4"/>
    <w:rsid w:val="00FB20A1"/>
    <w:rsid w:val="00FB51A2"/>
    <w:rsid w:val="00FB6A3A"/>
    <w:rsid w:val="00FB7041"/>
    <w:rsid w:val="00FC4AFC"/>
    <w:rsid w:val="00FC5EE7"/>
    <w:rsid w:val="00FD054C"/>
    <w:rsid w:val="00FD2648"/>
    <w:rsid w:val="00FD31FA"/>
    <w:rsid w:val="00FD710B"/>
    <w:rsid w:val="00FE0B1F"/>
    <w:rsid w:val="00FE3ADB"/>
    <w:rsid w:val="00FE4695"/>
    <w:rsid w:val="00FE568D"/>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1F95410"/>
  <w15:docId w15:val="{E0718CDD-EBF0-4426-AD2F-0A7274F9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172B58"/>
    <w:pPr>
      <w:keepNext/>
      <w:numPr>
        <w:numId w:val="14"/>
      </w:numPr>
      <w:spacing w:before="400" w:after="160"/>
      <w:ind w:left="431" w:hanging="431"/>
      <w:outlineLvl w:val="0"/>
    </w:pPr>
    <w:rPr>
      <w:rFonts w:ascii="Arial" w:hAnsi="Arial"/>
      <w:b/>
      <w:sz w:val="36"/>
      <w:lang w:val="en-AU"/>
    </w:rPr>
  </w:style>
  <w:style w:type="paragraph" w:styleId="Heading2">
    <w:name w:val="heading 2"/>
    <w:basedOn w:val="Heading1"/>
    <w:next w:val="Normalnumbered"/>
    <w:uiPriority w:val="1"/>
    <w:qFormat/>
    <w:rsid w:val="00172B58"/>
    <w:pPr>
      <w:numPr>
        <w:numId w:val="0"/>
      </w:numPr>
      <w:spacing w:before="0"/>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1C1815"/>
    <w:pPr>
      <w:spacing w:after="0" w:line="240" w:lineRule="auto"/>
    </w:pPr>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1C1815"/>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Tahoma" w:hAnsi="Tahoma"/>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1C1815"/>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Tahoma" w:hAnsi="Tahoma"/>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Tahoma" w:hAnsi="Tahoma"/>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numPr>
        <w:numId w:val="0"/>
      </w:numPr>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172B58"/>
    <w:pPr>
      <w:keepNext w:val="0"/>
      <w:widowControl w:val="0"/>
      <w:numPr>
        <w:ilvl w:val="1"/>
      </w:numPr>
      <w:spacing w:before="0" w:line="280" w:lineRule="atLeast"/>
      <w:ind w:left="578" w:hanging="578"/>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172B58"/>
    <w:rPr>
      <w:rFonts w:ascii="Arial" w:hAnsi="Arial"/>
      <w:sz w:val="22"/>
      <w:szCs w:val="22"/>
      <w:lang w:val="en-AU"/>
    </w:rPr>
  </w:style>
  <w:style w:type="paragraph" w:styleId="FootnoteText">
    <w:name w:val="footnote text"/>
    <w:basedOn w:val="Normal"/>
    <w:link w:val="FootnoteTextChar"/>
    <w:semiHidden/>
    <w:unhideWhenUsed/>
    <w:rsid w:val="00DB7E2D"/>
    <w:pPr>
      <w:spacing w:after="0" w:line="240" w:lineRule="auto"/>
    </w:pPr>
    <w:rPr>
      <w:sz w:val="20"/>
      <w:szCs w:val="20"/>
    </w:rPr>
  </w:style>
  <w:style w:type="character" w:customStyle="1" w:styleId="FootnoteTextChar">
    <w:name w:val="Footnote Text Char"/>
    <w:basedOn w:val="DefaultParagraphFont"/>
    <w:link w:val="FootnoteText"/>
    <w:semiHidden/>
    <w:rsid w:val="00DB7E2D"/>
    <w:rPr>
      <w:rFonts w:ascii="Arial" w:hAnsi="Arial"/>
      <w:sz w:val="20"/>
      <w:szCs w:val="20"/>
      <w:lang w:val="en-AU"/>
    </w:rPr>
  </w:style>
  <w:style w:type="character" w:styleId="FootnoteReference">
    <w:name w:val="footnote reference"/>
    <w:basedOn w:val="DefaultParagraphFont"/>
    <w:semiHidden/>
    <w:unhideWhenUsed/>
    <w:rsid w:val="00DB7E2D"/>
    <w:rPr>
      <w:vertAlign w:val="superscript"/>
    </w:rPr>
  </w:style>
  <w:style w:type="character" w:styleId="UnresolvedMention">
    <w:name w:val="Unresolved Mention"/>
    <w:basedOn w:val="DefaultParagraphFont"/>
    <w:uiPriority w:val="99"/>
    <w:semiHidden/>
    <w:unhideWhenUsed/>
    <w:rsid w:val="00C25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11104">
      <w:bodyDiv w:val="1"/>
      <w:marLeft w:val="0"/>
      <w:marRight w:val="0"/>
      <w:marTop w:val="0"/>
      <w:marBottom w:val="0"/>
      <w:divBdr>
        <w:top w:val="none" w:sz="0" w:space="0" w:color="auto"/>
        <w:left w:val="none" w:sz="0" w:space="0" w:color="auto"/>
        <w:bottom w:val="none" w:sz="0" w:space="0" w:color="auto"/>
        <w:right w:val="none" w:sz="0" w:space="0" w:color="auto"/>
      </w:divBdr>
      <w:divsChild>
        <w:div w:id="73164755">
          <w:marLeft w:val="0"/>
          <w:marRight w:val="0"/>
          <w:marTop w:val="0"/>
          <w:marBottom w:val="0"/>
          <w:divBdr>
            <w:top w:val="none" w:sz="0" w:space="0" w:color="auto"/>
            <w:left w:val="none" w:sz="0" w:space="0" w:color="auto"/>
            <w:bottom w:val="none" w:sz="0" w:space="0" w:color="auto"/>
            <w:right w:val="none" w:sz="0" w:space="0" w:color="auto"/>
          </w:divBdr>
        </w:div>
        <w:div w:id="347146618">
          <w:marLeft w:val="0"/>
          <w:marRight w:val="0"/>
          <w:marTop w:val="0"/>
          <w:marBottom w:val="0"/>
          <w:divBdr>
            <w:top w:val="none" w:sz="0" w:space="0" w:color="auto"/>
            <w:left w:val="none" w:sz="0" w:space="0" w:color="auto"/>
            <w:bottom w:val="none" w:sz="0" w:space="0" w:color="auto"/>
            <w:right w:val="none" w:sz="0" w:space="0" w:color="auto"/>
          </w:divBdr>
        </w:div>
        <w:div w:id="507868659">
          <w:marLeft w:val="0"/>
          <w:marRight w:val="0"/>
          <w:marTop w:val="0"/>
          <w:marBottom w:val="0"/>
          <w:divBdr>
            <w:top w:val="none" w:sz="0" w:space="0" w:color="auto"/>
            <w:left w:val="none" w:sz="0" w:space="0" w:color="auto"/>
            <w:bottom w:val="none" w:sz="0" w:space="0" w:color="auto"/>
            <w:right w:val="none" w:sz="0" w:space="0" w:color="auto"/>
          </w:divBdr>
        </w:div>
        <w:div w:id="557596190">
          <w:marLeft w:val="0"/>
          <w:marRight w:val="0"/>
          <w:marTop w:val="0"/>
          <w:marBottom w:val="0"/>
          <w:divBdr>
            <w:top w:val="none" w:sz="0" w:space="0" w:color="auto"/>
            <w:left w:val="none" w:sz="0" w:space="0" w:color="auto"/>
            <w:bottom w:val="none" w:sz="0" w:space="0" w:color="auto"/>
            <w:right w:val="none" w:sz="0" w:space="0" w:color="auto"/>
          </w:divBdr>
        </w:div>
        <w:div w:id="663438265">
          <w:marLeft w:val="0"/>
          <w:marRight w:val="0"/>
          <w:marTop w:val="0"/>
          <w:marBottom w:val="0"/>
          <w:divBdr>
            <w:top w:val="none" w:sz="0" w:space="0" w:color="auto"/>
            <w:left w:val="none" w:sz="0" w:space="0" w:color="auto"/>
            <w:bottom w:val="none" w:sz="0" w:space="0" w:color="auto"/>
            <w:right w:val="none" w:sz="0" w:space="0" w:color="auto"/>
          </w:divBdr>
        </w:div>
        <w:div w:id="942418510">
          <w:marLeft w:val="0"/>
          <w:marRight w:val="0"/>
          <w:marTop w:val="0"/>
          <w:marBottom w:val="0"/>
          <w:divBdr>
            <w:top w:val="none" w:sz="0" w:space="0" w:color="auto"/>
            <w:left w:val="none" w:sz="0" w:space="0" w:color="auto"/>
            <w:bottom w:val="none" w:sz="0" w:space="0" w:color="auto"/>
            <w:right w:val="none" w:sz="0" w:space="0" w:color="auto"/>
          </w:divBdr>
        </w:div>
        <w:div w:id="1065489193">
          <w:marLeft w:val="0"/>
          <w:marRight w:val="0"/>
          <w:marTop w:val="0"/>
          <w:marBottom w:val="0"/>
          <w:divBdr>
            <w:top w:val="none" w:sz="0" w:space="0" w:color="auto"/>
            <w:left w:val="none" w:sz="0" w:space="0" w:color="auto"/>
            <w:bottom w:val="none" w:sz="0" w:space="0" w:color="auto"/>
            <w:right w:val="none" w:sz="0" w:space="0" w:color="auto"/>
          </w:divBdr>
        </w:div>
        <w:div w:id="203163651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practice-notes?filters%5bkeyword%5d=eCase%20electronic%20subpoenas:%20notice%20to%20addresse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ubpoenas@countycourt.vic.gov.au" TargetMode="External"/><Relationship Id="rId4" Type="http://schemas.openxmlformats.org/officeDocument/2006/relationships/settings" Target="settings.xml"/><Relationship Id="rId9" Type="http://schemas.openxmlformats.org/officeDocument/2006/relationships/hyperlink" Target="http://cjep.justice.vic.gov.au"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305DA2-C44E-48C2-8484-7C6B226D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Nederhof (CSV)</dc:creator>
  <cp:keywords/>
  <dc:description/>
  <cp:lastModifiedBy>David Nowak (CSV)</cp:lastModifiedBy>
  <cp:revision>6</cp:revision>
  <cp:lastPrinted>2019-11-12T00:49:00Z</cp:lastPrinted>
  <dcterms:created xsi:type="dcterms:W3CDTF">2020-08-28T02:17:00Z</dcterms:created>
  <dcterms:modified xsi:type="dcterms:W3CDTF">2020-08-31T02:58:00Z</dcterms:modified>
</cp:coreProperties>
</file>