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0BD6E" w14:textId="217DF162" w:rsidR="009978F0" w:rsidRPr="008D34B1" w:rsidRDefault="00B801CE" w:rsidP="00920044">
      <w:pPr>
        <w:tabs>
          <w:tab w:val="left" w:pos="2064"/>
        </w:tabs>
        <w:spacing w:after="240"/>
        <w:rPr>
          <w:rFonts w:cs="Arial"/>
        </w:rPr>
      </w:pPr>
      <w:bookmarkStart w:id="0" w:name="_GoBack"/>
      <w:bookmarkEnd w:id="0"/>
      <w:r w:rsidRPr="008D34B1">
        <w:rPr>
          <w:rFonts w:cs="Arial"/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7F2BAF7" wp14:editId="122D0E8D">
            <wp:simplePos x="0" y="0"/>
            <wp:positionH relativeFrom="margin">
              <wp:posOffset>5215255</wp:posOffset>
            </wp:positionH>
            <wp:positionV relativeFrom="topMargin">
              <wp:posOffset>277437</wp:posOffset>
            </wp:positionV>
            <wp:extent cx="1493520" cy="982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V logo revers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7" t="17387" r="17988" b="18510"/>
                    <a:stretch/>
                  </pic:blipFill>
                  <pic:spPr bwMode="auto">
                    <a:xfrm>
                      <a:off x="0" y="0"/>
                      <a:ext cx="1493520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6A1" w:rsidRPr="008D34B1">
        <w:rPr>
          <w:rFonts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09572C" wp14:editId="77A20BA6">
                <wp:simplePos x="0" y="0"/>
                <wp:positionH relativeFrom="margin">
                  <wp:posOffset>-97155</wp:posOffset>
                </wp:positionH>
                <wp:positionV relativeFrom="topMargin">
                  <wp:posOffset>556837</wp:posOffset>
                </wp:positionV>
                <wp:extent cx="5654040" cy="822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FC0F2" w14:textId="6C6CFA2C" w:rsidR="008D34B1" w:rsidRDefault="008D34B1" w:rsidP="00F176A1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D34B1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Amendments to </w:t>
                            </w:r>
                            <w:r w:rsidR="006834E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the</w:t>
                            </w:r>
                          </w:p>
                          <w:p w14:paraId="4FB4E1CC" w14:textId="2A67D541" w:rsidR="00F176A1" w:rsidRDefault="008D34B1" w:rsidP="00F176A1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D34B1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Criminal </w:t>
                            </w:r>
                            <w:r w:rsidR="006834E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Division </w:t>
                            </w:r>
                            <w:r w:rsidRPr="008D34B1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Practice Note: PNCR 1-2015</w:t>
                            </w:r>
                          </w:p>
                          <w:p w14:paraId="009C7EF6" w14:textId="124C905B" w:rsidR="00224144" w:rsidRPr="00224144" w:rsidRDefault="00720033" w:rsidP="00F176A1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>(</w:t>
                            </w:r>
                            <w:r w:rsidR="00224144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>Effective 12 July 2019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>)</w:t>
                            </w:r>
                          </w:p>
                          <w:p w14:paraId="69472B58" w14:textId="77777777" w:rsidR="00F176A1" w:rsidRPr="006C398A" w:rsidRDefault="00F176A1" w:rsidP="00F176A1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5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43.85pt;width:445.2pt;height:6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sbCgIAAPQ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" filled="f" stroked="f">
                <v:textbox>
                  <w:txbxContent>
                    <w:p w14:paraId="3B8FC0F2" w14:textId="6C6CFA2C" w:rsidR="008D34B1" w:rsidRDefault="008D34B1" w:rsidP="00F176A1">
                      <w:pP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D34B1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Amendments to </w:t>
                      </w:r>
                      <w:r w:rsidR="006834E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the</w:t>
                      </w:r>
                    </w:p>
                    <w:p w14:paraId="4FB4E1CC" w14:textId="2A67D541" w:rsidR="00F176A1" w:rsidRDefault="008D34B1" w:rsidP="00F176A1">
                      <w:pP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D34B1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Criminal </w:t>
                      </w:r>
                      <w:r w:rsidR="006834E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Division </w:t>
                      </w:r>
                      <w:r w:rsidRPr="008D34B1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Practice Note: PNCR 1-2015</w:t>
                      </w:r>
                    </w:p>
                    <w:p w14:paraId="009C7EF6" w14:textId="124C905B" w:rsidR="00224144" w:rsidRPr="00224144" w:rsidRDefault="00720033" w:rsidP="00F176A1">
                      <w:pPr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>(</w:t>
                      </w:r>
                      <w:r w:rsidR="00224144"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>Effective 12 July 2019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>)</w:t>
                      </w:r>
                    </w:p>
                    <w:p w14:paraId="69472B58" w14:textId="77777777" w:rsidR="00F176A1" w:rsidRPr="006C398A" w:rsidRDefault="00F176A1" w:rsidP="00F176A1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76A1" w:rsidRPr="008D34B1">
        <w:rPr>
          <w:rFonts w:cs="Arial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D754D4" wp14:editId="232C72F5">
            <wp:simplePos x="0" y="0"/>
            <wp:positionH relativeFrom="page">
              <wp:posOffset>-9525</wp:posOffset>
            </wp:positionH>
            <wp:positionV relativeFrom="paragraph">
              <wp:posOffset>-1677035</wp:posOffset>
            </wp:positionV>
            <wp:extent cx="7569835" cy="1805940"/>
            <wp:effectExtent l="0" t="0" r="0" b="3810"/>
            <wp:wrapNone/>
            <wp:docPr id="22" name="Picture 22" descr="C:\Users\SBowieLi\Desktop\wor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wieLi\Desktop\word 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044" w:rsidRPr="008D34B1">
        <w:rPr>
          <w:rFonts w:cs="Arial"/>
        </w:rPr>
        <w:tab/>
      </w:r>
    </w:p>
    <w:p w14:paraId="7BE5CFF5" w14:textId="33E3BC85" w:rsidR="00990DC7" w:rsidRPr="00EF6BE7" w:rsidRDefault="008D34B1" w:rsidP="00805B95">
      <w:pPr>
        <w:rPr>
          <w:rFonts w:cs="Arial"/>
          <w:b/>
          <w:color w:val="000080"/>
        </w:rPr>
      </w:pPr>
      <w:r w:rsidRPr="00EF6BE7">
        <w:rPr>
          <w:rFonts w:cs="Arial"/>
          <w:b/>
          <w:color w:val="000080"/>
        </w:rPr>
        <w:t>Amendments effective:</w:t>
      </w:r>
    </w:p>
    <w:p w14:paraId="6AEA26EA" w14:textId="77777777" w:rsidR="008D34B1" w:rsidRPr="00EF6BE7" w:rsidRDefault="008D34B1" w:rsidP="00805B95">
      <w:pPr>
        <w:rPr>
          <w:rFonts w:cs="Arial"/>
          <w:b/>
          <w:color w:val="000080"/>
        </w:rPr>
      </w:pPr>
    </w:p>
    <w:tbl>
      <w:tblPr>
        <w:tblStyle w:val="TableGrid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2127"/>
      </w:tblGrid>
      <w:tr w:rsidR="00EF6BE7" w:rsidRPr="00EF6BE7" w14:paraId="62012DFF" w14:textId="77777777" w:rsidTr="00EF6BE7">
        <w:trPr>
          <w:trHeight w:val="245"/>
        </w:trPr>
        <w:tc>
          <w:tcPr>
            <w:tcW w:w="2268" w:type="dxa"/>
            <w:shd w:val="clear" w:color="auto" w:fill="CCC0D9" w:themeFill="accent4" w:themeFillTint="66"/>
          </w:tcPr>
          <w:p w14:paraId="661E0227" w14:textId="77777777" w:rsidR="008D34B1" w:rsidRPr="00EF6BE7" w:rsidRDefault="008D34B1" w:rsidP="008D34B1">
            <w:pPr>
              <w:spacing w:after="180" w:line="276" w:lineRule="auto"/>
              <w:rPr>
                <w:rFonts w:cs="Arial"/>
                <w:b/>
                <w:color w:val="000080"/>
              </w:rPr>
            </w:pPr>
            <w:r w:rsidRPr="00EF6BE7">
              <w:rPr>
                <w:rFonts w:cs="Arial"/>
                <w:b/>
                <w:color w:val="000080"/>
              </w:rPr>
              <w:t>Topic</w:t>
            </w:r>
          </w:p>
        </w:tc>
        <w:tc>
          <w:tcPr>
            <w:tcW w:w="5670" w:type="dxa"/>
            <w:shd w:val="clear" w:color="auto" w:fill="CCC0D9" w:themeFill="accent4" w:themeFillTint="66"/>
          </w:tcPr>
          <w:p w14:paraId="28457A05" w14:textId="77777777" w:rsidR="008D34B1" w:rsidRPr="00EF6BE7" w:rsidRDefault="008D34B1" w:rsidP="008D34B1">
            <w:pPr>
              <w:spacing w:after="180" w:line="276" w:lineRule="auto"/>
              <w:rPr>
                <w:rFonts w:cs="Arial"/>
                <w:b/>
                <w:color w:val="000080"/>
              </w:rPr>
            </w:pPr>
            <w:r w:rsidRPr="00EF6BE7">
              <w:rPr>
                <w:rFonts w:cs="Arial"/>
                <w:b/>
                <w:color w:val="000080"/>
              </w:rPr>
              <w:t>Amendment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14:paraId="0C66E238" w14:textId="77777777" w:rsidR="008D34B1" w:rsidRPr="00EF6BE7" w:rsidRDefault="008D34B1" w:rsidP="008D34B1">
            <w:pPr>
              <w:spacing w:after="180" w:line="276" w:lineRule="auto"/>
              <w:rPr>
                <w:rFonts w:cs="Arial"/>
                <w:b/>
                <w:color w:val="000080"/>
              </w:rPr>
            </w:pPr>
            <w:r w:rsidRPr="00EF6BE7">
              <w:rPr>
                <w:rFonts w:cs="Arial"/>
                <w:b/>
                <w:color w:val="000080"/>
              </w:rPr>
              <w:t>Relevant Section</w:t>
            </w:r>
          </w:p>
        </w:tc>
      </w:tr>
      <w:tr w:rsidR="00F340A0" w:rsidRPr="008D34B1" w14:paraId="1B59F1A8" w14:textId="77777777" w:rsidTr="003835E4">
        <w:trPr>
          <w:trHeight w:val="484"/>
        </w:trPr>
        <w:tc>
          <w:tcPr>
            <w:tcW w:w="2268" w:type="dxa"/>
          </w:tcPr>
          <w:p w14:paraId="05966484" w14:textId="77777777" w:rsidR="00F340A0" w:rsidRPr="008D34B1" w:rsidRDefault="00F340A0" w:rsidP="003835E4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t>Electronic Indictments</w:t>
            </w:r>
          </w:p>
        </w:tc>
        <w:tc>
          <w:tcPr>
            <w:tcW w:w="5670" w:type="dxa"/>
          </w:tcPr>
          <w:p w14:paraId="4E1BD10E" w14:textId="77777777" w:rsidR="005C3BFB" w:rsidRDefault="00F340A0" w:rsidP="003835E4">
            <w:pPr>
              <w:spacing w:after="18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Amendment to enable the filing of signed indictments electronically through eLodgement. </w:t>
            </w:r>
          </w:p>
          <w:p w14:paraId="759ADC2A" w14:textId="1C2FE4F3" w:rsidR="00F340A0" w:rsidRPr="008D34B1" w:rsidRDefault="00F340A0" w:rsidP="003835E4">
            <w:pPr>
              <w:spacing w:after="18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Consequential amendments to require the Prosecution to file a signed indictment rather than a draft indictment. </w:t>
            </w:r>
          </w:p>
        </w:tc>
        <w:tc>
          <w:tcPr>
            <w:tcW w:w="2127" w:type="dxa"/>
          </w:tcPr>
          <w:p w14:paraId="50FD2AA6" w14:textId="77777777" w:rsidR="00F340A0" w:rsidRPr="008D34B1" w:rsidRDefault="00F340A0" w:rsidP="003835E4">
            <w:pPr>
              <w:spacing w:after="18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1.3, </w:t>
            </w:r>
            <w:r w:rsidRPr="008D34B1">
              <w:rPr>
                <w:rFonts w:cs="Arial"/>
              </w:rPr>
              <w:t>6.3, 7.5, Attachment 2</w:t>
            </w:r>
          </w:p>
        </w:tc>
      </w:tr>
      <w:tr w:rsidR="008D34B1" w:rsidRPr="008D34B1" w14:paraId="585B57B8" w14:textId="77777777" w:rsidTr="008D34B1">
        <w:trPr>
          <w:trHeight w:val="484"/>
        </w:trPr>
        <w:tc>
          <w:tcPr>
            <w:tcW w:w="2268" w:type="dxa"/>
          </w:tcPr>
          <w:p w14:paraId="59AC87A3" w14:textId="25960226" w:rsidR="008D34B1" w:rsidRPr="008D34B1" w:rsidRDefault="008D34B1" w:rsidP="008D34B1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t xml:space="preserve">Special </w:t>
            </w:r>
            <w:r w:rsidR="00405E91">
              <w:rPr>
                <w:rFonts w:cs="Arial"/>
              </w:rPr>
              <w:t>Hearing</w:t>
            </w:r>
            <w:r w:rsidR="003D0D9A">
              <w:rPr>
                <w:rFonts w:cs="Arial"/>
              </w:rPr>
              <w:t>s</w:t>
            </w:r>
            <w:r w:rsidRPr="008D34B1">
              <w:rPr>
                <w:rFonts w:cs="Arial"/>
              </w:rPr>
              <w:t xml:space="preserve"> Procedure – </w:t>
            </w:r>
            <w:r w:rsidRPr="00311E80">
              <w:rPr>
                <w:rFonts w:cs="Arial"/>
                <w:u w:val="single"/>
              </w:rPr>
              <w:t>Melbourne Matters</w:t>
            </w:r>
          </w:p>
        </w:tc>
        <w:tc>
          <w:tcPr>
            <w:tcW w:w="5670" w:type="dxa"/>
          </w:tcPr>
          <w:p w14:paraId="4ADC58A6" w14:textId="4237EE97" w:rsidR="008D34B1" w:rsidRPr="008D34B1" w:rsidRDefault="008D34B1" w:rsidP="008D34B1">
            <w:pPr>
              <w:spacing w:after="180" w:line="276" w:lineRule="auto"/>
              <w:jc w:val="both"/>
              <w:rPr>
                <w:rFonts w:cs="Arial"/>
              </w:rPr>
            </w:pPr>
            <w:r w:rsidRPr="008D34B1">
              <w:rPr>
                <w:rFonts w:cs="Arial"/>
              </w:rPr>
              <w:t>New procedure for s</w:t>
            </w:r>
            <w:r w:rsidR="009A0484">
              <w:rPr>
                <w:rFonts w:cs="Arial"/>
              </w:rPr>
              <w:t>exual offence matters involving a complainant who is a child or person</w:t>
            </w:r>
            <w:r w:rsidRPr="008D34B1">
              <w:rPr>
                <w:rFonts w:cs="Arial"/>
              </w:rPr>
              <w:t xml:space="preserve"> with a cognitive impairment, including amendments to enable</w:t>
            </w:r>
            <w:r w:rsidR="008042AF">
              <w:rPr>
                <w:rFonts w:cs="Arial"/>
              </w:rPr>
              <w:t xml:space="preserve"> applications for preparatory cross-examination pursuant to</w:t>
            </w:r>
            <w:r w:rsidRPr="008D34B1">
              <w:rPr>
                <w:rFonts w:cs="Arial"/>
              </w:rPr>
              <w:t xml:space="preserve"> s 198A </w:t>
            </w:r>
            <w:r w:rsidRPr="008D34B1">
              <w:rPr>
                <w:rFonts w:cs="Arial"/>
                <w:i/>
              </w:rPr>
              <w:t>Criminal Procedure Act 2009</w:t>
            </w:r>
            <w:r w:rsidRPr="008D34B1">
              <w:rPr>
                <w:rFonts w:cs="Arial"/>
              </w:rPr>
              <w:t xml:space="preserve">. </w:t>
            </w:r>
          </w:p>
          <w:p w14:paraId="5CBA7429" w14:textId="77777777" w:rsidR="008D34B1" w:rsidRDefault="008D34B1" w:rsidP="008D34B1">
            <w:pPr>
              <w:spacing w:after="180" w:line="276" w:lineRule="auto"/>
              <w:jc w:val="both"/>
              <w:rPr>
                <w:rFonts w:cs="Arial"/>
              </w:rPr>
            </w:pPr>
            <w:r w:rsidRPr="008D34B1">
              <w:rPr>
                <w:rFonts w:cs="Arial"/>
              </w:rPr>
              <w:t>New Form 198A – Application for Pre-Trial Cross-Examination.</w:t>
            </w:r>
          </w:p>
          <w:p w14:paraId="49F1C180" w14:textId="1123AFDD" w:rsidR="00111CA2" w:rsidRDefault="00111CA2" w:rsidP="00111CA2">
            <w:pPr>
              <w:spacing w:after="180" w:line="276" w:lineRule="auto"/>
              <w:jc w:val="both"/>
            </w:pPr>
            <w:r>
              <w:rPr>
                <w:rFonts w:cs="Arial"/>
              </w:rPr>
              <w:t xml:space="preserve">New requirement for the prosecution to file the indictment, prosecution opening, </w:t>
            </w:r>
            <w:r>
              <w:t xml:space="preserve">depositions, family violence checklist, witness information sheet, </w:t>
            </w:r>
            <w:r>
              <w:rPr>
                <w:i/>
              </w:rPr>
              <w:t xml:space="preserve">Jury Directions Act </w:t>
            </w:r>
            <w:r>
              <w:t xml:space="preserve">notices and </w:t>
            </w:r>
            <w:r>
              <w:rPr>
                <w:i/>
              </w:rPr>
              <w:t xml:space="preserve">Evidence Act </w:t>
            </w:r>
            <w:r>
              <w:t>notices (including tendency and coincidence evidence notices) no later than 14 days after the date of committal.</w:t>
            </w:r>
          </w:p>
          <w:p w14:paraId="6BBE5DF9" w14:textId="1B23BE3D" w:rsidR="00111CA2" w:rsidRDefault="005C4271" w:rsidP="00111CA2">
            <w:pPr>
              <w:spacing w:after="180" w:line="276" w:lineRule="auto"/>
              <w:jc w:val="both"/>
            </w:pPr>
            <w:r>
              <w:t>New requirement for the prosecution and defence</w:t>
            </w:r>
            <w:r w:rsidR="00111CA2">
              <w:t xml:space="preserve"> to jointly file Form 198 – Application for Pre-Trial Cross</w:t>
            </w:r>
            <w:r w:rsidR="00F627A1">
              <w:t>-</w:t>
            </w:r>
            <w:r w:rsidR="00111CA2">
              <w:t xml:space="preserve"> Examination no later than 7 days before the IDH.</w:t>
            </w:r>
          </w:p>
          <w:p w14:paraId="0241A962" w14:textId="075C1C54" w:rsidR="00111CA2" w:rsidRPr="008D34B1" w:rsidRDefault="00111CA2" w:rsidP="00111CA2">
            <w:pPr>
              <w:spacing w:after="180" w:line="276" w:lineRule="auto"/>
              <w:jc w:val="both"/>
              <w:rPr>
                <w:rFonts w:cs="Arial"/>
              </w:rPr>
            </w:pPr>
            <w:r>
              <w:t xml:space="preserve">New requirement for defence to </w:t>
            </w:r>
            <w:r w:rsidR="00385CAB">
              <w:t>file s 32C Notices</w:t>
            </w:r>
            <w:r w:rsidR="00F2672C">
              <w:t>,</w:t>
            </w:r>
            <w:r w:rsidR="00385CAB">
              <w:t xml:space="preserve"> if confidential communications are sought</w:t>
            </w:r>
            <w:r w:rsidR="00F2672C">
              <w:t xml:space="preserve"> for special hearing matters,</w:t>
            </w:r>
            <w:r w:rsidR="00385CAB">
              <w:t xml:space="preserve"> no later than 7 days before the IDH.</w:t>
            </w:r>
          </w:p>
        </w:tc>
        <w:tc>
          <w:tcPr>
            <w:tcW w:w="2127" w:type="dxa"/>
          </w:tcPr>
          <w:p w14:paraId="2C0BB63F" w14:textId="2C7F3381" w:rsidR="008D34B1" w:rsidRPr="008D34B1" w:rsidRDefault="006D66B9" w:rsidP="0065419F">
            <w:pPr>
              <w:spacing w:after="180" w:line="276" w:lineRule="auto"/>
              <w:rPr>
                <w:rFonts w:cs="Arial"/>
              </w:rPr>
            </w:pPr>
            <w:r>
              <w:rPr>
                <w:rFonts w:cs="Arial"/>
              </w:rPr>
              <w:t>2.4, 3.1 – 3</w:t>
            </w:r>
            <w:r w:rsidR="008D34B1" w:rsidRPr="008D34B1">
              <w:rPr>
                <w:rFonts w:cs="Arial"/>
              </w:rPr>
              <w:t xml:space="preserve">.14, </w:t>
            </w:r>
            <w:r w:rsidR="00967973">
              <w:rPr>
                <w:rFonts w:cs="Arial"/>
              </w:rPr>
              <w:t>5.</w:t>
            </w:r>
            <w:r w:rsidR="0065419F">
              <w:rPr>
                <w:rFonts w:cs="Arial"/>
              </w:rPr>
              <w:t>3</w:t>
            </w:r>
            <w:r w:rsidR="009750BD">
              <w:rPr>
                <w:rFonts w:cs="Arial"/>
              </w:rPr>
              <w:t>, Attachment 3, Attachment 7</w:t>
            </w:r>
          </w:p>
        </w:tc>
      </w:tr>
      <w:tr w:rsidR="008D34B1" w:rsidRPr="008D34B1" w14:paraId="023CDA0A" w14:textId="77777777" w:rsidTr="008D34B1">
        <w:trPr>
          <w:trHeight w:val="484"/>
        </w:trPr>
        <w:tc>
          <w:tcPr>
            <w:tcW w:w="2268" w:type="dxa"/>
          </w:tcPr>
          <w:p w14:paraId="43410D9A" w14:textId="07C4D7C3" w:rsidR="008D34B1" w:rsidRPr="008D34B1" w:rsidRDefault="003D0D9A" w:rsidP="008D34B1">
            <w:pPr>
              <w:spacing w:after="180" w:line="276" w:lineRule="auto"/>
              <w:rPr>
                <w:rFonts w:cs="Arial"/>
              </w:rPr>
            </w:pPr>
            <w:r>
              <w:rPr>
                <w:rFonts w:cs="Arial"/>
              </w:rPr>
              <w:t>Special Hearings</w:t>
            </w:r>
            <w:r w:rsidR="008D34B1" w:rsidRPr="008D34B1">
              <w:rPr>
                <w:rFonts w:cs="Arial"/>
              </w:rPr>
              <w:t xml:space="preserve"> Procedure – </w:t>
            </w:r>
            <w:r w:rsidR="008D34B1" w:rsidRPr="003D0D9A">
              <w:rPr>
                <w:rFonts w:cs="Arial"/>
                <w:u w:val="single"/>
              </w:rPr>
              <w:t>Circuit Matters</w:t>
            </w:r>
          </w:p>
        </w:tc>
        <w:tc>
          <w:tcPr>
            <w:tcW w:w="5670" w:type="dxa"/>
          </w:tcPr>
          <w:p w14:paraId="466B47B8" w14:textId="76D7519A" w:rsidR="008D34B1" w:rsidRDefault="008D34B1" w:rsidP="008D34B1">
            <w:pPr>
              <w:spacing w:after="180" w:line="276" w:lineRule="auto"/>
              <w:jc w:val="both"/>
              <w:rPr>
                <w:rFonts w:cs="Arial"/>
              </w:rPr>
            </w:pPr>
            <w:r w:rsidRPr="008D34B1">
              <w:rPr>
                <w:rFonts w:cs="Arial"/>
              </w:rPr>
              <w:t>Amendment to include the procedure for applications for preparatory cross-examination pursuan</w:t>
            </w:r>
            <w:r w:rsidR="009B201C">
              <w:rPr>
                <w:rFonts w:cs="Arial"/>
              </w:rPr>
              <w:t>t to s 198A</w:t>
            </w:r>
            <w:r w:rsidRPr="008D34B1">
              <w:rPr>
                <w:rFonts w:cs="Arial"/>
              </w:rPr>
              <w:t xml:space="preserve"> </w:t>
            </w:r>
            <w:r w:rsidRPr="008D34B1">
              <w:rPr>
                <w:rFonts w:cs="Arial"/>
                <w:i/>
              </w:rPr>
              <w:t>Criminal Procedure Act 2009</w:t>
            </w:r>
            <w:r w:rsidR="003D0D9A">
              <w:rPr>
                <w:rFonts w:cs="Arial"/>
                <w:i/>
              </w:rPr>
              <w:t xml:space="preserve"> </w:t>
            </w:r>
            <w:r w:rsidR="003D0D9A">
              <w:rPr>
                <w:rFonts w:cs="Arial"/>
              </w:rPr>
              <w:t>for special hearing matters</w:t>
            </w:r>
            <w:r w:rsidRPr="008D34B1">
              <w:rPr>
                <w:rFonts w:cs="Arial"/>
              </w:rPr>
              <w:t xml:space="preserve">. </w:t>
            </w:r>
          </w:p>
          <w:p w14:paraId="31B3AC08" w14:textId="67FA9B74" w:rsidR="00145A92" w:rsidRPr="00145A92" w:rsidRDefault="00145A92" w:rsidP="00C857FE">
            <w:pPr>
              <w:spacing w:after="180" w:line="276" w:lineRule="auto"/>
              <w:jc w:val="both"/>
            </w:pPr>
            <w:r>
              <w:rPr>
                <w:rFonts w:cs="Arial"/>
              </w:rPr>
              <w:t xml:space="preserve">New requirement for the prosecution to file the indictment, prosecution opening, </w:t>
            </w:r>
            <w:r>
              <w:t xml:space="preserve">depositions, family violence checklist, witness information sheet, </w:t>
            </w:r>
            <w:r>
              <w:rPr>
                <w:i/>
              </w:rPr>
              <w:t xml:space="preserve">Jury Directions Act </w:t>
            </w:r>
            <w:r>
              <w:t xml:space="preserve">notices and </w:t>
            </w:r>
            <w:r>
              <w:rPr>
                <w:i/>
              </w:rPr>
              <w:t xml:space="preserve">Evidence Act </w:t>
            </w:r>
            <w:r>
              <w:t>notices (including tendency and coincidence evidence notices) no later than 14 days after the date of committal.</w:t>
            </w:r>
          </w:p>
        </w:tc>
        <w:tc>
          <w:tcPr>
            <w:tcW w:w="2127" w:type="dxa"/>
          </w:tcPr>
          <w:p w14:paraId="54DB75A3" w14:textId="3D2D63F2" w:rsidR="000E7B94" w:rsidRPr="008D34B1" w:rsidRDefault="009B201C" w:rsidP="009750BD">
            <w:pPr>
              <w:spacing w:after="180" w:line="276" w:lineRule="auto"/>
              <w:rPr>
                <w:rFonts w:cs="Arial"/>
              </w:rPr>
            </w:pPr>
            <w:r>
              <w:rPr>
                <w:rFonts w:cs="Arial"/>
              </w:rPr>
              <w:t>4.4</w:t>
            </w:r>
            <w:r w:rsidR="008D34B1" w:rsidRPr="008D34B1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4.</w:t>
            </w:r>
            <w:r w:rsidR="003F190E">
              <w:rPr>
                <w:rFonts w:cs="Arial"/>
              </w:rPr>
              <w:t>7</w:t>
            </w:r>
            <w:r w:rsidR="00250A17">
              <w:rPr>
                <w:rFonts w:cs="Arial"/>
              </w:rPr>
              <w:t>,</w:t>
            </w:r>
            <w:r w:rsidR="00DB06C6">
              <w:rPr>
                <w:rFonts w:cs="Arial"/>
              </w:rPr>
              <w:t xml:space="preserve"> 4.17</w:t>
            </w:r>
            <w:r w:rsidR="00070D5E">
              <w:rPr>
                <w:rFonts w:cs="Arial"/>
              </w:rPr>
              <w:t>,</w:t>
            </w:r>
            <w:r w:rsidR="008D34B1" w:rsidRPr="008D34B1">
              <w:rPr>
                <w:rFonts w:cs="Arial"/>
              </w:rPr>
              <w:t xml:space="preserve"> 5.</w:t>
            </w:r>
            <w:r w:rsidR="0065419F">
              <w:rPr>
                <w:rFonts w:cs="Arial"/>
              </w:rPr>
              <w:t>3</w:t>
            </w:r>
            <w:r w:rsidR="00967973">
              <w:rPr>
                <w:rFonts w:cs="Arial"/>
              </w:rPr>
              <w:t>,</w:t>
            </w:r>
            <w:r w:rsidR="001B5973">
              <w:rPr>
                <w:rFonts w:cs="Arial"/>
              </w:rPr>
              <w:t xml:space="preserve"> </w:t>
            </w:r>
            <w:r w:rsidR="00967973">
              <w:rPr>
                <w:rFonts w:cs="Arial"/>
              </w:rPr>
              <w:t>Attachment 7</w:t>
            </w:r>
          </w:p>
        </w:tc>
      </w:tr>
      <w:tr w:rsidR="00C24C5F" w:rsidRPr="008D34B1" w14:paraId="0211C54B" w14:textId="77777777" w:rsidTr="003835E4">
        <w:trPr>
          <w:trHeight w:val="484"/>
        </w:trPr>
        <w:tc>
          <w:tcPr>
            <w:tcW w:w="2268" w:type="dxa"/>
          </w:tcPr>
          <w:p w14:paraId="61DC45CC" w14:textId="77777777" w:rsidR="00C24C5F" w:rsidRPr="008D34B1" w:rsidRDefault="00C24C5F" w:rsidP="003835E4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t>Appearances via Video</w:t>
            </w:r>
            <w:r>
              <w:rPr>
                <w:rFonts w:cs="Arial"/>
              </w:rPr>
              <w:t xml:space="preserve"> </w:t>
            </w:r>
            <w:r w:rsidRPr="008D34B1">
              <w:rPr>
                <w:rFonts w:cs="Arial"/>
              </w:rPr>
              <w:t>link – Circuit Matters</w:t>
            </w:r>
          </w:p>
        </w:tc>
        <w:tc>
          <w:tcPr>
            <w:tcW w:w="5670" w:type="dxa"/>
          </w:tcPr>
          <w:p w14:paraId="5A6E9274" w14:textId="77777777" w:rsidR="00C24C5F" w:rsidRPr="008D34B1" w:rsidRDefault="00C24C5F" w:rsidP="003835E4">
            <w:pPr>
              <w:spacing w:after="180" w:line="276" w:lineRule="auto"/>
              <w:jc w:val="both"/>
              <w:rPr>
                <w:rFonts w:cs="Arial"/>
              </w:rPr>
            </w:pPr>
            <w:r w:rsidRPr="008D34B1">
              <w:rPr>
                <w:rFonts w:cs="Arial"/>
              </w:rPr>
              <w:t>Amendment to provide practitioners with guidance as to when video</w:t>
            </w:r>
            <w:r>
              <w:rPr>
                <w:rFonts w:cs="Arial"/>
              </w:rPr>
              <w:t xml:space="preserve"> links are arranged for circuit directions </w:t>
            </w:r>
            <w:r>
              <w:rPr>
                <w:rFonts w:cs="Arial"/>
              </w:rPr>
              <w:lastRenderedPageBreak/>
              <w:t>h</w:t>
            </w:r>
            <w:r w:rsidRPr="008D34B1">
              <w:rPr>
                <w:rFonts w:cs="Arial"/>
              </w:rPr>
              <w:t>earings, and when leave is required to appear via video</w:t>
            </w:r>
            <w:r>
              <w:rPr>
                <w:rFonts w:cs="Arial"/>
              </w:rPr>
              <w:t xml:space="preserve"> </w:t>
            </w:r>
            <w:r w:rsidRPr="008D34B1">
              <w:rPr>
                <w:rFonts w:cs="Arial"/>
              </w:rPr>
              <w:t xml:space="preserve">link. </w:t>
            </w:r>
          </w:p>
        </w:tc>
        <w:tc>
          <w:tcPr>
            <w:tcW w:w="2127" w:type="dxa"/>
          </w:tcPr>
          <w:p w14:paraId="5EF542D5" w14:textId="0ECC3B93" w:rsidR="00C24C5F" w:rsidRPr="008D34B1" w:rsidRDefault="006D0E8D" w:rsidP="003835E4">
            <w:pPr>
              <w:spacing w:after="18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4.10</w:t>
            </w:r>
            <w:r w:rsidR="00AA0EB5">
              <w:rPr>
                <w:rFonts w:cs="Arial"/>
              </w:rPr>
              <w:t xml:space="preserve"> – 4.14</w:t>
            </w:r>
          </w:p>
        </w:tc>
      </w:tr>
      <w:tr w:rsidR="00C24C5F" w:rsidRPr="008D34B1" w14:paraId="5C4782B2" w14:textId="77777777" w:rsidTr="003835E4">
        <w:trPr>
          <w:trHeight w:val="484"/>
        </w:trPr>
        <w:tc>
          <w:tcPr>
            <w:tcW w:w="2268" w:type="dxa"/>
          </w:tcPr>
          <w:p w14:paraId="781892DF" w14:textId="77777777" w:rsidR="00C24C5F" w:rsidRPr="008D34B1" w:rsidRDefault="00C24C5F" w:rsidP="003835E4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lastRenderedPageBreak/>
              <w:t xml:space="preserve">At the Conclusion of the Circuit Directions Hearing </w:t>
            </w:r>
          </w:p>
        </w:tc>
        <w:tc>
          <w:tcPr>
            <w:tcW w:w="5670" w:type="dxa"/>
          </w:tcPr>
          <w:p w14:paraId="61C76F4B" w14:textId="77777777" w:rsidR="00C24C5F" w:rsidRPr="008D34B1" w:rsidRDefault="00C24C5F" w:rsidP="003835E4">
            <w:pPr>
              <w:pStyle w:val="ListParagraph"/>
              <w:spacing w:after="180" w:line="276" w:lineRule="auto"/>
              <w:ind w:left="34"/>
              <w:contextualSpacing w:val="0"/>
              <w:jc w:val="both"/>
              <w:rPr>
                <w:rFonts w:cs="Arial"/>
              </w:rPr>
            </w:pPr>
            <w:r w:rsidRPr="008D34B1">
              <w:rPr>
                <w:rFonts w:cs="Arial"/>
              </w:rPr>
              <w:t xml:space="preserve">Amendment to provide practitioners with guidance as to what may occur at the conclusion of a circuit directions hearing. </w:t>
            </w:r>
          </w:p>
        </w:tc>
        <w:tc>
          <w:tcPr>
            <w:tcW w:w="2127" w:type="dxa"/>
          </w:tcPr>
          <w:p w14:paraId="3B057ADF" w14:textId="4C1631D2" w:rsidR="00C24C5F" w:rsidRPr="008D34B1" w:rsidRDefault="00AA0EB5" w:rsidP="003835E4">
            <w:pPr>
              <w:spacing w:after="180" w:line="276" w:lineRule="auto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492178">
              <w:rPr>
                <w:rFonts w:cs="Arial"/>
              </w:rPr>
              <w:t>15 – 4</w:t>
            </w:r>
            <w:r w:rsidR="00EA3A98">
              <w:rPr>
                <w:rFonts w:cs="Arial"/>
              </w:rPr>
              <w:t>.18</w:t>
            </w:r>
          </w:p>
        </w:tc>
      </w:tr>
      <w:tr w:rsidR="00C24C5F" w:rsidRPr="008D34B1" w14:paraId="2FE83D6C" w14:textId="77777777" w:rsidTr="003835E4">
        <w:trPr>
          <w:trHeight w:val="484"/>
        </w:trPr>
        <w:tc>
          <w:tcPr>
            <w:tcW w:w="2268" w:type="dxa"/>
          </w:tcPr>
          <w:p w14:paraId="33E7504C" w14:textId="77777777" w:rsidR="00C24C5F" w:rsidRPr="008D34B1" w:rsidRDefault="00C24C5F" w:rsidP="003835E4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t>Subpoenas relating to Confidential Communications</w:t>
            </w:r>
          </w:p>
        </w:tc>
        <w:tc>
          <w:tcPr>
            <w:tcW w:w="5670" w:type="dxa"/>
          </w:tcPr>
          <w:p w14:paraId="4C003758" w14:textId="1031C57E" w:rsidR="00C24C5F" w:rsidRPr="008D34B1" w:rsidRDefault="00C24C5F" w:rsidP="00C47215">
            <w:pPr>
              <w:spacing w:after="180" w:line="276" w:lineRule="auto"/>
              <w:jc w:val="both"/>
              <w:rPr>
                <w:rFonts w:cs="Arial"/>
              </w:rPr>
            </w:pPr>
            <w:r w:rsidRPr="008D34B1">
              <w:rPr>
                <w:rFonts w:cs="Arial"/>
              </w:rPr>
              <w:t>Amendment to filing requirements for s 32C ap</w:t>
            </w:r>
            <w:r w:rsidR="00C47215">
              <w:rPr>
                <w:rFonts w:cs="Arial"/>
              </w:rPr>
              <w:t xml:space="preserve">plications in sexual offence matters involving a complainant who is a child or person with a cognitive impairment. </w:t>
            </w:r>
          </w:p>
        </w:tc>
        <w:tc>
          <w:tcPr>
            <w:tcW w:w="2127" w:type="dxa"/>
          </w:tcPr>
          <w:p w14:paraId="3F580C9A" w14:textId="0A8220B5" w:rsidR="00C24C5F" w:rsidRPr="008D34B1" w:rsidRDefault="009750BD" w:rsidP="003835E4">
            <w:pPr>
              <w:spacing w:after="18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3.7, </w:t>
            </w:r>
            <w:r w:rsidR="00071090">
              <w:rPr>
                <w:rFonts w:cs="Arial"/>
              </w:rPr>
              <w:t>26</w:t>
            </w:r>
            <w:r w:rsidR="00C24C5F" w:rsidRPr="008D34B1">
              <w:rPr>
                <w:rFonts w:cs="Arial"/>
              </w:rPr>
              <w:t>.1(c)</w:t>
            </w:r>
          </w:p>
        </w:tc>
      </w:tr>
      <w:tr w:rsidR="008D34B1" w:rsidRPr="008D34B1" w14:paraId="4C4A2E0A" w14:textId="77777777" w:rsidTr="008D34B1">
        <w:trPr>
          <w:trHeight w:val="484"/>
        </w:trPr>
        <w:tc>
          <w:tcPr>
            <w:tcW w:w="2268" w:type="dxa"/>
          </w:tcPr>
          <w:p w14:paraId="385F27F2" w14:textId="77777777" w:rsidR="008D34B1" w:rsidRPr="008D34B1" w:rsidRDefault="008D34B1" w:rsidP="008D34B1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t>Section 198B Procedure</w:t>
            </w:r>
          </w:p>
        </w:tc>
        <w:tc>
          <w:tcPr>
            <w:tcW w:w="5670" w:type="dxa"/>
          </w:tcPr>
          <w:p w14:paraId="4696016B" w14:textId="1E931DA6" w:rsidR="007D0CA1" w:rsidRPr="007D0CA1" w:rsidRDefault="007D0CA1" w:rsidP="004201A0">
            <w:pPr>
              <w:spacing w:after="18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New chapter for the </w:t>
            </w:r>
            <w:r w:rsidRPr="008D34B1">
              <w:rPr>
                <w:rFonts w:cs="Arial"/>
              </w:rPr>
              <w:t xml:space="preserve">procedure for making </w:t>
            </w:r>
            <w:r>
              <w:rPr>
                <w:rFonts w:cs="Arial"/>
              </w:rPr>
              <w:t xml:space="preserve">an application for preparatory cross-examination pursuant to s198B </w:t>
            </w:r>
            <w:r>
              <w:rPr>
                <w:rFonts w:cs="Arial"/>
                <w:i/>
              </w:rPr>
              <w:t>Criminal Procedure Act 2009</w:t>
            </w:r>
            <w:r>
              <w:rPr>
                <w:rFonts w:cs="Arial"/>
              </w:rPr>
              <w:t>.</w:t>
            </w:r>
          </w:p>
          <w:p w14:paraId="358C508C" w14:textId="7783BD14" w:rsidR="008D34B1" w:rsidRPr="008D34B1" w:rsidRDefault="008D34B1" w:rsidP="00580630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t xml:space="preserve">Amendment to include relevant questions </w:t>
            </w:r>
            <w:r w:rsidR="00580630">
              <w:rPr>
                <w:rFonts w:cs="Arial"/>
              </w:rPr>
              <w:t>parties must be prepared to answer at the IDH regarding</w:t>
            </w:r>
            <w:r w:rsidRPr="008D34B1">
              <w:rPr>
                <w:rFonts w:cs="Arial"/>
              </w:rPr>
              <w:t xml:space="preserve"> s 198B </w:t>
            </w:r>
            <w:r w:rsidRPr="008D34B1">
              <w:rPr>
                <w:rFonts w:cs="Arial"/>
                <w:i/>
              </w:rPr>
              <w:t>Criminal Procedure Act 2009</w:t>
            </w:r>
            <w:r w:rsidR="004201A0">
              <w:rPr>
                <w:rFonts w:cs="Arial"/>
              </w:rPr>
              <w:t xml:space="preserve"> applications.</w:t>
            </w:r>
          </w:p>
        </w:tc>
        <w:tc>
          <w:tcPr>
            <w:tcW w:w="2127" w:type="dxa"/>
          </w:tcPr>
          <w:p w14:paraId="62FAD855" w14:textId="77777777" w:rsidR="008D34B1" w:rsidRPr="008D34B1" w:rsidRDefault="008D34B1" w:rsidP="008D34B1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t>2.11 (d), 12.1-12.3</w:t>
            </w:r>
          </w:p>
        </w:tc>
      </w:tr>
      <w:tr w:rsidR="008D34B1" w:rsidRPr="008D34B1" w14:paraId="6F1A9FD2" w14:textId="77777777" w:rsidTr="008D34B1">
        <w:trPr>
          <w:trHeight w:val="484"/>
        </w:trPr>
        <w:tc>
          <w:tcPr>
            <w:tcW w:w="2268" w:type="dxa"/>
          </w:tcPr>
          <w:p w14:paraId="73D9D007" w14:textId="4192CA25" w:rsidR="008D34B1" w:rsidRPr="008D34B1" w:rsidRDefault="008D34B1" w:rsidP="008D34B1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t>Application for Bail</w:t>
            </w:r>
          </w:p>
        </w:tc>
        <w:tc>
          <w:tcPr>
            <w:tcW w:w="5670" w:type="dxa"/>
          </w:tcPr>
          <w:p w14:paraId="76A93F46" w14:textId="2DDE2F0E" w:rsidR="008D34B1" w:rsidRPr="008D34B1" w:rsidRDefault="008D34B1" w:rsidP="008D34B1">
            <w:pPr>
              <w:spacing w:after="180" w:line="276" w:lineRule="auto"/>
              <w:jc w:val="both"/>
              <w:rPr>
                <w:rFonts w:cs="Arial"/>
              </w:rPr>
            </w:pPr>
            <w:r w:rsidRPr="008D34B1">
              <w:rPr>
                <w:rFonts w:cs="Arial"/>
              </w:rPr>
              <w:t>Amendment to the appl</w:t>
            </w:r>
            <w:r w:rsidR="0091412E">
              <w:rPr>
                <w:rFonts w:cs="Arial"/>
              </w:rPr>
              <w:t>icable threshold – substitute ‘show cause’ for ‘compelling r</w:t>
            </w:r>
            <w:r w:rsidRPr="008D34B1">
              <w:rPr>
                <w:rFonts w:cs="Arial"/>
              </w:rPr>
              <w:t>easons’.</w:t>
            </w:r>
          </w:p>
          <w:p w14:paraId="0BEC37D8" w14:textId="096D6789" w:rsidR="008D34B1" w:rsidRPr="008D34B1" w:rsidRDefault="008D34B1" w:rsidP="008D34B1">
            <w:pPr>
              <w:spacing w:after="180" w:line="276" w:lineRule="auto"/>
              <w:jc w:val="both"/>
              <w:rPr>
                <w:rFonts w:cs="Arial"/>
              </w:rPr>
            </w:pPr>
            <w:r w:rsidRPr="008D34B1">
              <w:rPr>
                <w:rFonts w:cs="Arial"/>
              </w:rPr>
              <w:t xml:space="preserve">Amendment to the Bail Application Form to include the question of whether the accused is an Aboriginal and/or Torres Strait Islander and if yes, whether s 3A </w:t>
            </w:r>
            <w:r w:rsidRPr="008D34B1">
              <w:rPr>
                <w:rFonts w:cs="Arial"/>
                <w:i/>
              </w:rPr>
              <w:t>Bail Act 1977</w:t>
            </w:r>
            <w:r w:rsidRPr="008D34B1">
              <w:rPr>
                <w:rFonts w:cs="Arial"/>
              </w:rPr>
              <w:t xml:space="preserve"> will be relied upon. </w:t>
            </w:r>
          </w:p>
        </w:tc>
        <w:tc>
          <w:tcPr>
            <w:tcW w:w="2127" w:type="dxa"/>
          </w:tcPr>
          <w:p w14:paraId="0027162A" w14:textId="77777777" w:rsidR="008D34B1" w:rsidRPr="008D34B1" w:rsidRDefault="008D34B1" w:rsidP="008D34B1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t>8.1 (c)(i)</w:t>
            </w:r>
          </w:p>
          <w:p w14:paraId="768A01AD" w14:textId="77777777" w:rsidR="008D34B1" w:rsidRPr="008D34B1" w:rsidRDefault="008D34B1" w:rsidP="008D34B1">
            <w:pPr>
              <w:spacing w:after="180" w:line="276" w:lineRule="auto"/>
              <w:rPr>
                <w:rFonts w:cs="Arial"/>
              </w:rPr>
            </w:pPr>
          </w:p>
          <w:p w14:paraId="276F4170" w14:textId="77777777" w:rsidR="008D34B1" w:rsidRPr="008D34B1" w:rsidRDefault="008D34B1" w:rsidP="008D34B1">
            <w:pPr>
              <w:spacing w:after="180" w:line="276" w:lineRule="auto"/>
              <w:rPr>
                <w:rFonts w:cs="Arial"/>
              </w:rPr>
            </w:pPr>
          </w:p>
          <w:p w14:paraId="722E23A7" w14:textId="77777777" w:rsidR="008D34B1" w:rsidRPr="008D34B1" w:rsidRDefault="008D34B1" w:rsidP="008D34B1">
            <w:pPr>
              <w:spacing w:after="180" w:line="276" w:lineRule="auto"/>
              <w:rPr>
                <w:rFonts w:cs="Arial"/>
              </w:rPr>
            </w:pPr>
            <w:r w:rsidRPr="008D34B1">
              <w:rPr>
                <w:rFonts w:cs="Arial"/>
              </w:rPr>
              <w:t>8.1(c)(ii)</w:t>
            </w:r>
          </w:p>
        </w:tc>
      </w:tr>
    </w:tbl>
    <w:p w14:paraId="2E0738E2" w14:textId="77777777" w:rsidR="008D34B1" w:rsidRPr="008D34B1" w:rsidRDefault="008D34B1" w:rsidP="00805B95">
      <w:pPr>
        <w:rPr>
          <w:rFonts w:cs="Arial"/>
          <w:b/>
        </w:rPr>
      </w:pPr>
    </w:p>
    <w:sectPr w:rsidR="008D34B1" w:rsidRPr="008D34B1" w:rsidSect="00B80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843" w:right="849" w:bottom="1418" w:left="993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C9E1" w14:textId="77777777" w:rsidR="00872286" w:rsidRDefault="00872286" w:rsidP="00061816">
      <w:r>
        <w:separator/>
      </w:r>
    </w:p>
  </w:endnote>
  <w:endnote w:type="continuationSeparator" w:id="0">
    <w:p w14:paraId="7697C3D8" w14:textId="77777777" w:rsidR="00872286" w:rsidRDefault="00872286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">
    <w:altName w:val="Malgun Gothic"/>
    <w:panose1 w:val="02000503030000020004"/>
    <w:charset w:val="00"/>
    <w:family w:val="auto"/>
    <w:pitch w:val="variable"/>
    <w:sig w:usb0="800000AF" w:usb1="5000016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EDAF4" w14:textId="77777777" w:rsidR="00434E04" w:rsidRDefault="00434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028916"/>
      <w:docPartObj>
        <w:docPartGallery w:val="Page Numbers (Bottom of Page)"/>
        <w:docPartUnique/>
      </w:docPartObj>
    </w:sdtPr>
    <w:sdtEndPr/>
    <w:sdtContent>
      <w:sdt>
        <w:sdtPr>
          <w:id w:val="-1793352685"/>
          <w:docPartObj>
            <w:docPartGallery w:val="Page Numbers (Top of Page)"/>
            <w:docPartUnique/>
          </w:docPartObj>
        </w:sdtPr>
        <w:sdtEndPr/>
        <w:sdtContent>
          <w:p w14:paraId="1A0A1E55" w14:textId="77777777" w:rsidR="005A032C" w:rsidRDefault="005A032C">
            <w:pPr>
              <w:pStyle w:val="Footer"/>
              <w:jc w:val="right"/>
            </w:pPr>
            <w:r w:rsidRPr="00EB4C57">
              <w:rPr>
                <w:sz w:val="20"/>
              </w:rPr>
              <w:t xml:space="preserve">Page </w:t>
            </w:r>
            <w:r w:rsidRPr="00EB4C57">
              <w:rPr>
                <w:bCs/>
                <w:sz w:val="20"/>
              </w:rPr>
              <w:fldChar w:fldCharType="begin"/>
            </w:r>
            <w:r w:rsidRPr="00EB4C57">
              <w:rPr>
                <w:bCs/>
                <w:sz w:val="20"/>
              </w:rPr>
              <w:instrText xml:space="preserve"> PAGE </w:instrText>
            </w:r>
            <w:r w:rsidRPr="00EB4C57">
              <w:rPr>
                <w:bCs/>
                <w:sz w:val="20"/>
              </w:rPr>
              <w:fldChar w:fldCharType="separate"/>
            </w:r>
            <w:r w:rsidR="00BD7178">
              <w:rPr>
                <w:bCs/>
                <w:noProof/>
                <w:sz w:val="20"/>
              </w:rPr>
              <w:t>2</w:t>
            </w:r>
            <w:r w:rsidRPr="00EB4C57">
              <w:rPr>
                <w:bCs/>
                <w:sz w:val="20"/>
              </w:rPr>
              <w:fldChar w:fldCharType="end"/>
            </w:r>
            <w:r w:rsidRPr="00EB4C57">
              <w:rPr>
                <w:sz w:val="20"/>
              </w:rPr>
              <w:t xml:space="preserve"> of </w:t>
            </w:r>
            <w:r w:rsidRPr="00EB4C57">
              <w:rPr>
                <w:bCs/>
                <w:sz w:val="20"/>
              </w:rPr>
              <w:fldChar w:fldCharType="begin"/>
            </w:r>
            <w:r w:rsidRPr="00EB4C57">
              <w:rPr>
                <w:bCs/>
                <w:sz w:val="20"/>
              </w:rPr>
              <w:instrText xml:space="preserve"> NUMPAGES  </w:instrText>
            </w:r>
            <w:r w:rsidRPr="00EB4C57">
              <w:rPr>
                <w:bCs/>
                <w:sz w:val="20"/>
              </w:rPr>
              <w:fldChar w:fldCharType="separate"/>
            </w:r>
            <w:r w:rsidR="00BD7178">
              <w:rPr>
                <w:bCs/>
                <w:noProof/>
                <w:sz w:val="20"/>
              </w:rPr>
              <w:t>2</w:t>
            </w:r>
            <w:r w:rsidRPr="00EB4C5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13A5130" w14:textId="77777777" w:rsidR="005A032C" w:rsidRPr="007348D4" w:rsidRDefault="005A032C" w:rsidP="007348D4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B39A" w14:textId="77777777" w:rsidR="00B801CE" w:rsidRDefault="00872286" w:rsidP="00B801CE">
    <w:pPr>
      <w:pStyle w:val="Footer"/>
      <w:jc w:val="right"/>
    </w:pPr>
    <w:sdt>
      <w:sdtPr>
        <w:id w:val="-2006961088"/>
        <w:docPartObj>
          <w:docPartGallery w:val="Page Numbers (Top of Page)"/>
          <w:docPartUnique/>
        </w:docPartObj>
      </w:sdtPr>
      <w:sdtEndPr/>
      <w:sdtContent>
        <w:r w:rsidR="00B801CE" w:rsidRPr="00EB4C57">
          <w:rPr>
            <w:sz w:val="20"/>
          </w:rPr>
          <w:t xml:space="preserve">Page </w:t>
        </w:r>
        <w:r w:rsidR="00B801CE" w:rsidRPr="00EB4C57">
          <w:rPr>
            <w:bCs/>
            <w:sz w:val="20"/>
          </w:rPr>
          <w:fldChar w:fldCharType="begin"/>
        </w:r>
        <w:r w:rsidR="00B801CE" w:rsidRPr="00EB4C57">
          <w:rPr>
            <w:bCs/>
            <w:sz w:val="20"/>
          </w:rPr>
          <w:instrText xml:space="preserve"> PAGE </w:instrText>
        </w:r>
        <w:r w:rsidR="00B801CE" w:rsidRPr="00EB4C57">
          <w:rPr>
            <w:bCs/>
            <w:sz w:val="20"/>
          </w:rPr>
          <w:fldChar w:fldCharType="separate"/>
        </w:r>
        <w:r w:rsidR="00BD7178">
          <w:rPr>
            <w:bCs/>
            <w:noProof/>
            <w:sz w:val="20"/>
          </w:rPr>
          <w:t>1</w:t>
        </w:r>
        <w:r w:rsidR="00B801CE" w:rsidRPr="00EB4C57">
          <w:rPr>
            <w:bCs/>
            <w:sz w:val="20"/>
          </w:rPr>
          <w:fldChar w:fldCharType="end"/>
        </w:r>
        <w:r w:rsidR="00B801CE" w:rsidRPr="00EB4C57">
          <w:rPr>
            <w:sz w:val="20"/>
          </w:rPr>
          <w:t xml:space="preserve"> of </w:t>
        </w:r>
        <w:r w:rsidR="00B801CE" w:rsidRPr="00EB4C57">
          <w:rPr>
            <w:bCs/>
            <w:sz w:val="20"/>
          </w:rPr>
          <w:fldChar w:fldCharType="begin"/>
        </w:r>
        <w:r w:rsidR="00B801CE" w:rsidRPr="00EB4C57">
          <w:rPr>
            <w:bCs/>
            <w:sz w:val="20"/>
          </w:rPr>
          <w:instrText xml:space="preserve"> NUMPAGES  </w:instrText>
        </w:r>
        <w:r w:rsidR="00B801CE" w:rsidRPr="00EB4C57">
          <w:rPr>
            <w:bCs/>
            <w:sz w:val="20"/>
          </w:rPr>
          <w:fldChar w:fldCharType="separate"/>
        </w:r>
        <w:r w:rsidR="00BD7178">
          <w:rPr>
            <w:bCs/>
            <w:noProof/>
            <w:sz w:val="20"/>
          </w:rPr>
          <w:t>2</w:t>
        </w:r>
        <w:r w:rsidR="00B801CE" w:rsidRPr="00EB4C57">
          <w:rPr>
            <w:bCs/>
            <w:sz w:val="20"/>
          </w:rPr>
          <w:fldChar w:fldCharType="end"/>
        </w:r>
      </w:sdtContent>
    </w:sdt>
  </w:p>
  <w:p w14:paraId="2B2B5717" w14:textId="77777777" w:rsidR="00434E04" w:rsidRDefault="00434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680C" w14:textId="77777777" w:rsidR="00872286" w:rsidRDefault="00872286" w:rsidP="00061816">
      <w:r>
        <w:separator/>
      </w:r>
    </w:p>
  </w:footnote>
  <w:footnote w:type="continuationSeparator" w:id="0">
    <w:p w14:paraId="79AE49E2" w14:textId="77777777" w:rsidR="00872286" w:rsidRDefault="00872286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20B5" w14:textId="77777777" w:rsidR="00434E04" w:rsidRDefault="00434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02D72" w14:textId="668FF2E3" w:rsidR="005A032C" w:rsidRDefault="006834E6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630EBAD" wp14:editId="2354F595">
              <wp:simplePos x="0" y="0"/>
              <wp:positionH relativeFrom="margin">
                <wp:posOffset>861815</wp:posOffset>
              </wp:positionH>
              <wp:positionV relativeFrom="paragraph">
                <wp:posOffset>-148290</wp:posOffset>
              </wp:positionV>
              <wp:extent cx="5525135" cy="61247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135" cy="61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21AFEA" w14:textId="77777777" w:rsidR="005A032C" w:rsidRDefault="005A032C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  <w:p w14:paraId="0D5E1174" w14:textId="77777777" w:rsidR="006834E6" w:rsidRDefault="00C01ACA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Amendments to</w:t>
                          </w:r>
                          <w:r w:rsidR="006834E6"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 xml:space="preserve"> the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 xml:space="preserve"> Criminal </w:t>
                          </w:r>
                          <w:r w:rsidR="006834E6"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 xml:space="preserve">Division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Practice Note: PNCR 1-2015</w:t>
                          </w:r>
                          <w:r w:rsidR="00720033"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</w:p>
                        <w:p w14:paraId="1D6698E6" w14:textId="2F1B7324" w:rsidR="005A032C" w:rsidRPr="00720033" w:rsidRDefault="00720033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0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0"/>
                              <w14:ligatures w14:val="none"/>
                            </w:rPr>
                            <w:t>(</w:t>
                          </w:r>
                          <w:r w:rsidR="006834E6">
                            <w:rPr>
                              <w:rFonts w:cs="Arial"/>
                              <w:b/>
                              <w:bCs/>
                              <w:color w:val="auto"/>
                              <w:sz w:val="20"/>
                              <w14:ligatures w14:val="none"/>
                            </w:rPr>
                            <w:t>E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0"/>
                              <w14:ligatures w14:val="none"/>
                            </w:rPr>
                            <w:t>ffective 12 July 2019)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0EBA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7.85pt;margin-top:-11.7pt;width:435.05pt;height:48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" filled="f" stroked="f" strokecolor="black [0]" insetpen="t">
              <v:textbox inset="2.88pt,2.88pt,2.88pt,2.88pt">
                <w:txbxContent>
                  <w:p w14:paraId="6E21AFEA" w14:textId="77777777" w:rsidR="005A032C" w:rsidRDefault="005A032C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</w:p>
                  <w:p w14:paraId="0D5E1174" w14:textId="77777777" w:rsidR="006834E6" w:rsidRDefault="00C01ACA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>Amendments to</w:t>
                    </w:r>
                    <w:r w:rsidR="006834E6"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 xml:space="preserve"> the</w:t>
                    </w:r>
                    <w:r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 xml:space="preserve"> Criminal </w:t>
                    </w:r>
                    <w:r w:rsidR="006834E6"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 xml:space="preserve">Division </w:t>
                    </w:r>
                    <w:r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>Practice Note: PNCR 1-2015</w:t>
                    </w:r>
                    <w:r w:rsidR="00720033"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 xml:space="preserve"> </w:t>
                    </w:r>
                  </w:p>
                  <w:p w14:paraId="1D6698E6" w14:textId="2F1B7324" w:rsidR="005A032C" w:rsidRPr="00720033" w:rsidRDefault="00720033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0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color w:val="auto"/>
                        <w:sz w:val="20"/>
                        <w14:ligatures w14:val="none"/>
                      </w:rPr>
                      <w:t>(</w:t>
                    </w:r>
                    <w:r w:rsidR="006834E6">
                      <w:rPr>
                        <w:rFonts w:cs="Arial"/>
                        <w:b/>
                        <w:bCs/>
                        <w:color w:val="auto"/>
                        <w:sz w:val="20"/>
                        <w14:ligatures w14:val="none"/>
                      </w:rPr>
                      <w:t>E</w:t>
                    </w:r>
                    <w:r>
                      <w:rPr>
                        <w:rFonts w:cs="Arial"/>
                        <w:b/>
                        <w:bCs/>
                        <w:color w:val="auto"/>
                        <w:sz w:val="20"/>
                        <w14:ligatures w14:val="none"/>
                      </w:rPr>
                      <w:t>ffective 12 July 2019)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5DFB">
      <w:rPr>
        <w:noProof/>
        <w14:ligatures w14:val="none"/>
        <w14:cntxtAlts w14:val="0"/>
      </w:rPr>
      <w:drawing>
        <wp:inline distT="0" distB="0" distL="0" distR="0" wp14:anchorId="355C45FB" wp14:editId="10C9625A">
          <wp:extent cx="937260" cy="483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94" t="28249" r="3322" b="31001"/>
                  <a:stretch/>
                </pic:blipFill>
                <pic:spPr bwMode="auto">
                  <a:xfrm>
                    <a:off x="0" y="0"/>
                    <a:ext cx="941539" cy="485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15A7" w:rsidRPr="007C7175"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7E0083C6" wp14:editId="6F1103AC">
              <wp:simplePos x="0" y="0"/>
              <wp:positionH relativeFrom="column">
                <wp:posOffset>903605</wp:posOffset>
              </wp:positionH>
              <wp:positionV relativeFrom="paragraph">
                <wp:posOffset>474345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10A6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71.15pt;margin-top:37.35pt;width:533.5pt;height: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" strokecolor="black [0]">
              <v:shadow color="#eeece1"/>
            </v:shape>
          </w:pict>
        </mc:Fallback>
      </mc:AlternateContent>
    </w:r>
    <w:r w:rsidR="005A032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130BF" w14:textId="0F704460" w:rsidR="00513D6E" w:rsidRDefault="00664E97" w:rsidP="00664E97">
    <w:pPr>
      <w:tabs>
        <w:tab w:val="center" w:pos="5456"/>
      </w:tabs>
      <w:rPr>
        <w:rFonts w:ascii="Akkurat" w:hAnsi="Akkurat"/>
        <w:color w:val="FFFFFF" w:themeColor="background1"/>
        <w:sz w:val="40"/>
        <w:szCs w:val="40"/>
      </w:rPr>
    </w:pPr>
    <w:r>
      <w:rPr>
        <w:rFonts w:ascii="Akkurat" w:hAnsi="Akkurat"/>
        <w:color w:val="FFFFFF" w:themeColor="background1"/>
        <w:sz w:val="40"/>
        <w:szCs w:val="40"/>
      </w:rPr>
      <w:tab/>
    </w:r>
  </w:p>
  <w:p w14:paraId="15FDFE43" w14:textId="58897FD5" w:rsidR="00513D6E" w:rsidRDefault="00513D6E" w:rsidP="00513D6E">
    <w:pPr>
      <w:rPr>
        <w:rFonts w:ascii="Akkurat" w:hAnsi="Akkurat"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F08"/>
    <w:multiLevelType w:val="hybridMultilevel"/>
    <w:tmpl w:val="43A451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49D1"/>
    <w:multiLevelType w:val="hybridMultilevel"/>
    <w:tmpl w:val="50985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864"/>
    <w:multiLevelType w:val="hybridMultilevel"/>
    <w:tmpl w:val="7A5CA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0ADE"/>
    <w:multiLevelType w:val="multilevel"/>
    <w:tmpl w:val="2FE861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133998"/>
    <w:multiLevelType w:val="multilevel"/>
    <w:tmpl w:val="6874990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A3336D"/>
    <w:multiLevelType w:val="hybridMultilevel"/>
    <w:tmpl w:val="0E449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358B"/>
    <w:multiLevelType w:val="hybridMultilevel"/>
    <w:tmpl w:val="8CA40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356E"/>
    <w:multiLevelType w:val="hybridMultilevel"/>
    <w:tmpl w:val="DF76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1AF"/>
    <w:multiLevelType w:val="multilevel"/>
    <w:tmpl w:val="6C90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AC5058"/>
    <w:multiLevelType w:val="hybridMultilevel"/>
    <w:tmpl w:val="0D5617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120A7"/>
    <w:multiLevelType w:val="hybridMultilevel"/>
    <w:tmpl w:val="A2A04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5AB5"/>
    <w:multiLevelType w:val="hybridMultilevel"/>
    <w:tmpl w:val="1E4C9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37AB"/>
    <w:multiLevelType w:val="hybridMultilevel"/>
    <w:tmpl w:val="A1F0F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F3A6E"/>
    <w:multiLevelType w:val="hybridMultilevel"/>
    <w:tmpl w:val="95FA3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7761"/>
    <w:multiLevelType w:val="hybridMultilevel"/>
    <w:tmpl w:val="43D0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E5B31"/>
    <w:multiLevelType w:val="hybridMultilevel"/>
    <w:tmpl w:val="3F04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7062E"/>
    <w:multiLevelType w:val="hybridMultilevel"/>
    <w:tmpl w:val="9C783C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01684"/>
    <w:multiLevelType w:val="hybridMultilevel"/>
    <w:tmpl w:val="E4A40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11856"/>
    <w:multiLevelType w:val="hybridMultilevel"/>
    <w:tmpl w:val="E8326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11490"/>
    <w:multiLevelType w:val="hybridMultilevel"/>
    <w:tmpl w:val="2AAC4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D3110"/>
    <w:multiLevelType w:val="hybridMultilevel"/>
    <w:tmpl w:val="E4C8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C3DCE"/>
    <w:multiLevelType w:val="hybridMultilevel"/>
    <w:tmpl w:val="8834A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EA01094"/>
    <w:multiLevelType w:val="hybridMultilevel"/>
    <w:tmpl w:val="4FAE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407B5"/>
    <w:multiLevelType w:val="multilevel"/>
    <w:tmpl w:val="868E7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Sub-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4DB2490"/>
    <w:multiLevelType w:val="hybridMultilevel"/>
    <w:tmpl w:val="AA727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3E427D"/>
    <w:multiLevelType w:val="hybridMultilevel"/>
    <w:tmpl w:val="A8766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11404"/>
    <w:multiLevelType w:val="hybridMultilevel"/>
    <w:tmpl w:val="3236B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A5ED3"/>
    <w:multiLevelType w:val="hybridMultilevel"/>
    <w:tmpl w:val="40148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6A97"/>
    <w:multiLevelType w:val="multilevel"/>
    <w:tmpl w:val="6C90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2115A0"/>
    <w:multiLevelType w:val="hybridMultilevel"/>
    <w:tmpl w:val="B3FC4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3116F"/>
    <w:multiLevelType w:val="multilevel"/>
    <w:tmpl w:val="0978A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4203038"/>
    <w:multiLevelType w:val="multilevel"/>
    <w:tmpl w:val="2BC23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42E655E"/>
    <w:multiLevelType w:val="hybridMultilevel"/>
    <w:tmpl w:val="338E19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B32B6"/>
    <w:multiLevelType w:val="hybridMultilevel"/>
    <w:tmpl w:val="5D9EF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20"/>
  </w:num>
  <w:num w:numId="5">
    <w:abstractNumId w:val="3"/>
  </w:num>
  <w:num w:numId="6">
    <w:abstractNumId w:val="18"/>
  </w:num>
  <w:num w:numId="7">
    <w:abstractNumId w:val="13"/>
  </w:num>
  <w:num w:numId="8">
    <w:abstractNumId w:val="0"/>
  </w:num>
  <w:num w:numId="9">
    <w:abstractNumId w:val="28"/>
  </w:num>
  <w:num w:numId="10">
    <w:abstractNumId w:val="12"/>
  </w:num>
  <w:num w:numId="11">
    <w:abstractNumId w:val="23"/>
  </w:num>
  <w:num w:numId="12">
    <w:abstractNumId w:val="9"/>
  </w:num>
  <w:num w:numId="13">
    <w:abstractNumId w:val="14"/>
  </w:num>
  <w:num w:numId="14">
    <w:abstractNumId w:val="26"/>
  </w:num>
  <w:num w:numId="15">
    <w:abstractNumId w:val="5"/>
  </w:num>
  <w:num w:numId="16">
    <w:abstractNumId w:val="25"/>
  </w:num>
  <w:num w:numId="17">
    <w:abstractNumId w:val="29"/>
  </w:num>
  <w:num w:numId="18">
    <w:abstractNumId w:val="11"/>
  </w:num>
  <w:num w:numId="19">
    <w:abstractNumId w:val="8"/>
  </w:num>
  <w:num w:numId="20">
    <w:abstractNumId w:val="30"/>
  </w:num>
  <w:num w:numId="21">
    <w:abstractNumId w:val="2"/>
  </w:num>
  <w:num w:numId="22">
    <w:abstractNumId w:val="15"/>
  </w:num>
  <w:num w:numId="23">
    <w:abstractNumId w:val="19"/>
  </w:num>
  <w:num w:numId="24">
    <w:abstractNumId w:val="27"/>
  </w:num>
  <w:num w:numId="25">
    <w:abstractNumId w:val="7"/>
  </w:num>
  <w:num w:numId="26">
    <w:abstractNumId w:val="35"/>
  </w:num>
  <w:num w:numId="27">
    <w:abstractNumId w:val="1"/>
  </w:num>
  <w:num w:numId="28">
    <w:abstractNumId w:val="21"/>
  </w:num>
  <w:num w:numId="29">
    <w:abstractNumId w:val="17"/>
  </w:num>
  <w:num w:numId="30">
    <w:abstractNumId w:val="31"/>
  </w:num>
  <w:num w:numId="31">
    <w:abstractNumId w:val="34"/>
  </w:num>
  <w:num w:numId="32">
    <w:abstractNumId w:val="16"/>
  </w:num>
  <w:num w:numId="33">
    <w:abstractNumId w:val="10"/>
  </w:num>
  <w:num w:numId="34">
    <w:abstractNumId w:val="6"/>
  </w:num>
  <w:num w:numId="35">
    <w:abstractNumId w:val="22"/>
  </w:num>
  <w:num w:numId="3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6"/>
    <w:rsid w:val="00003D5C"/>
    <w:rsid w:val="000132BD"/>
    <w:rsid w:val="000139E1"/>
    <w:rsid w:val="00022A35"/>
    <w:rsid w:val="0002797F"/>
    <w:rsid w:val="00031359"/>
    <w:rsid w:val="00037459"/>
    <w:rsid w:val="00037B62"/>
    <w:rsid w:val="000408AD"/>
    <w:rsid w:val="000521FB"/>
    <w:rsid w:val="0005439A"/>
    <w:rsid w:val="000611AE"/>
    <w:rsid w:val="00061816"/>
    <w:rsid w:val="00061895"/>
    <w:rsid w:val="000645D4"/>
    <w:rsid w:val="000668E9"/>
    <w:rsid w:val="0006731A"/>
    <w:rsid w:val="00070D5E"/>
    <w:rsid w:val="00071090"/>
    <w:rsid w:val="00071F04"/>
    <w:rsid w:val="00074941"/>
    <w:rsid w:val="00084573"/>
    <w:rsid w:val="000A376D"/>
    <w:rsid w:val="000B2C8A"/>
    <w:rsid w:val="000B30FE"/>
    <w:rsid w:val="000C4D54"/>
    <w:rsid w:val="000D1865"/>
    <w:rsid w:val="000D2691"/>
    <w:rsid w:val="000D46DE"/>
    <w:rsid w:val="000D5956"/>
    <w:rsid w:val="000E2339"/>
    <w:rsid w:val="000E41BD"/>
    <w:rsid w:val="000E60CC"/>
    <w:rsid w:val="000E79DD"/>
    <w:rsid w:val="000E7B94"/>
    <w:rsid w:val="000F0CBE"/>
    <w:rsid w:val="000F56A3"/>
    <w:rsid w:val="00102968"/>
    <w:rsid w:val="00103BF1"/>
    <w:rsid w:val="00104053"/>
    <w:rsid w:val="00106679"/>
    <w:rsid w:val="00111CA2"/>
    <w:rsid w:val="00113B32"/>
    <w:rsid w:val="001361AB"/>
    <w:rsid w:val="0014048B"/>
    <w:rsid w:val="00140B28"/>
    <w:rsid w:val="00141A9C"/>
    <w:rsid w:val="001432CB"/>
    <w:rsid w:val="00145A92"/>
    <w:rsid w:val="00155483"/>
    <w:rsid w:val="00162393"/>
    <w:rsid w:val="0016612E"/>
    <w:rsid w:val="00166EB3"/>
    <w:rsid w:val="00171AD3"/>
    <w:rsid w:val="001730AE"/>
    <w:rsid w:val="00174B92"/>
    <w:rsid w:val="00175FDC"/>
    <w:rsid w:val="0017684F"/>
    <w:rsid w:val="001773F5"/>
    <w:rsid w:val="00196BD6"/>
    <w:rsid w:val="00197F32"/>
    <w:rsid w:val="001A174B"/>
    <w:rsid w:val="001A3748"/>
    <w:rsid w:val="001A4159"/>
    <w:rsid w:val="001A571A"/>
    <w:rsid w:val="001A788D"/>
    <w:rsid w:val="001B5973"/>
    <w:rsid w:val="001C30D2"/>
    <w:rsid w:val="001C384F"/>
    <w:rsid w:val="001C6AE3"/>
    <w:rsid w:val="001D166A"/>
    <w:rsid w:val="001D18C2"/>
    <w:rsid w:val="001D4BCC"/>
    <w:rsid w:val="001E0A10"/>
    <w:rsid w:val="001E51E1"/>
    <w:rsid w:val="001F52AE"/>
    <w:rsid w:val="001F6A28"/>
    <w:rsid w:val="00222727"/>
    <w:rsid w:val="002236AE"/>
    <w:rsid w:val="00224144"/>
    <w:rsid w:val="00231975"/>
    <w:rsid w:val="00233880"/>
    <w:rsid w:val="00246A39"/>
    <w:rsid w:val="00250A17"/>
    <w:rsid w:val="00261257"/>
    <w:rsid w:val="00261BB1"/>
    <w:rsid w:val="00265768"/>
    <w:rsid w:val="00266A9E"/>
    <w:rsid w:val="002759A1"/>
    <w:rsid w:val="0028047F"/>
    <w:rsid w:val="00283F8D"/>
    <w:rsid w:val="00284DE1"/>
    <w:rsid w:val="00285B15"/>
    <w:rsid w:val="002911E0"/>
    <w:rsid w:val="00297221"/>
    <w:rsid w:val="002A1BB2"/>
    <w:rsid w:val="002A5D5C"/>
    <w:rsid w:val="002B2532"/>
    <w:rsid w:val="002B3531"/>
    <w:rsid w:val="002B3AF9"/>
    <w:rsid w:val="002C5DD8"/>
    <w:rsid w:val="002C5F83"/>
    <w:rsid w:val="002C6043"/>
    <w:rsid w:val="002C6B40"/>
    <w:rsid w:val="002D0930"/>
    <w:rsid w:val="002D1387"/>
    <w:rsid w:val="002D2262"/>
    <w:rsid w:val="002D7C69"/>
    <w:rsid w:val="002E01BE"/>
    <w:rsid w:val="002E104F"/>
    <w:rsid w:val="002E274A"/>
    <w:rsid w:val="002E277B"/>
    <w:rsid w:val="002E300C"/>
    <w:rsid w:val="002E6854"/>
    <w:rsid w:val="002F0458"/>
    <w:rsid w:val="002F504B"/>
    <w:rsid w:val="00301899"/>
    <w:rsid w:val="003045EC"/>
    <w:rsid w:val="00311E80"/>
    <w:rsid w:val="00314BBC"/>
    <w:rsid w:val="003152BB"/>
    <w:rsid w:val="0032186E"/>
    <w:rsid w:val="00325BDB"/>
    <w:rsid w:val="0032622E"/>
    <w:rsid w:val="0032628D"/>
    <w:rsid w:val="00341768"/>
    <w:rsid w:val="00345B76"/>
    <w:rsid w:val="00351A1A"/>
    <w:rsid w:val="0035656D"/>
    <w:rsid w:val="0035731E"/>
    <w:rsid w:val="00371E1A"/>
    <w:rsid w:val="00375A7C"/>
    <w:rsid w:val="00376ED8"/>
    <w:rsid w:val="003801B9"/>
    <w:rsid w:val="00384A58"/>
    <w:rsid w:val="00385CAB"/>
    <w:rsid w:val="00386CA2"/>
    <w:rsid w:val="00387433"/>
    <w:rsid w:val="0039284A"/>
    <w:rsid w:val="00395FB4"/>
    <w:rsid w:val="003966DA"/>
    <w:rsid w:val="003A2715"/>
    <w:rsid w:val="003A374F"/>
    <w:rsid w:val="003B086D"/>
    <w:rsid w:val="003B77A8"/>
    <w:rsid w:val="003C1845"/>
    <w:rsid w:val="003C5614"/>
    <w:rsid w:val="003D0D9A"/>
    <w:rsid w:val="003D66A3"/>
    <w:rsid w:val="003E307F"/>
    <w:rsid w:val="003E588B"/>
    <w:rsid w:val="003F190E"/>
    <w:rsid w:val="00404D1D"/>
    <w:rsid w:val="0040598C"/>
    <w:rsid w:val="00405E91"/>
    <w:rsid w:val="00406CD8"/>
    <w:rsid w:val="004105F0"/>
    <w:rsid w:val="00413F26"/>
    <w:rsid w:val="00420067"/>
    <w:rsid w:val="004201A0"/>
    <w:rsid w:val="00421351"/>
    <w:rsid w:val="0043381C"/>
    <w:rsid w:val="00434E04"/>
    <w:rsid w:val="004458AE"/>
    <w:rsid w:val="00450371"/>
    <w:rsid w:val="004513C2"/>
    <w:rsid w:val="0046554D"/>
    <w:rsid w:val="0047310A"/>
    <w:rsid w:val="004772C5"/>
    <w:rsid w:val="00480E27"/>
    <w:rsid w:val="004858E5"/>
    <w:rsid w:val="004862CA"/>
    <w:rsid w:val="00487C1E"/>
    <w:rsid w:val="0049049F"/>
    <w:rsid w:val="00491293"/>
    <w:rsid w:val="00492178"/>
    <w:rsid w:val="004A40FF"/>
    <w:rsid w:val="004A4292"/>
    <w:rsid w:val="004A4901"/>
    <w:rsid w:val="004A4BBF"/>
    <w:rsid w:val="004B0305"/>
    <w:rsid w:val="004B0A99"/>
    <w:rsid w:val="004B7614"/>
    <w:rsid w:val="004C0EF3"/>
    <w:rsid w:val="004C1E37"/>
    <w:rsid w:val="004D0047"/>
    <w:rsid w:val="004D13DB"/>
    <w:rsid w:val="004D2B37"/>
    <w:rsid w:val="004D3173"/>
    <w:rsid w:val="004D41DB"/>
    <w:rsid w:val="005018EB"/>
    <w:rsid w:val="00502E81"/>
    <w:rsid w:val="00504E76"/>
    <w:rsid w:val="00504FBB"/>
    <w:rsid w:val="00511186"/>
    <w:rsid w:val="00512E11"/>
    <w:rsid w:val="00513D6E"/>
    <w:rsid w:val="00520A7C"/>
    <w:rsid w:val="00523755"/>
    <w:rsid w:val="00527697"/>
    <w:rsid w:val="00537534"/>
    <w:rsid w:val="00546AF4"/>
    <w:rsid w:val="0055116C"/>
    <w:rsid w:val="005602DF"/>
    <w:rsid w:val="00565DFB"/>
    <w:rsid w:val="00566173"/>
    <w:rsid w:val="0057285C"/>
    <w:rsid w:val="00573CFB"/>
    <w:rsid w:val="005776C6"/>
    <w:rsid w:val="00580630"/>
    <w:rsid w:val="00583A16"/>
    <w:rsid w:val="005862C6"/>
    <w:rsid w:val="005876D2"/>
    <w:rsid w:val="0059297F"/>
    <w:rsid w:val="005A032C"/>
    <w:rsid w:val="005A6AE0"/>
    <w:rsid w:val="005B09D6"/>
    <w:rsid w:val="005B2301"/>
    <w:rsid w:val="005B3FAA"/>
    <w:rsid w:val="005C3BFB"/>
    <w:rsid w:val="005C4271"/>
    <w:rsid w:val="005C5017"/>
    <w:rsid w:val="005C64A6"/>
    <w:rsid w:val="005C7522"/>
    <w:rsid w:val="005D360C"/>
    <w:rsid w:val="005D561C"/>
    <w:rsid w:val="005D7E87"/>
    <w:rsid w:val="005E3101"/>
    <w:rsid w:val="005E4E60"/>
    <w:rsid w:val="005F35BF"/>
    <w:rsid w:val="005F5BFC"/>
    <w:rsid w:val="00603065"/>
    <w:rsid w:val="00611AFF"/>
    <w:rsid w:val="00612904"/>
    <w:rsid w:val="00617AEA"/>
    <w:rsid w:val="00621AF6"/>
    <w:rsid w:val="00623853"/>
    <w:rsid w:val="00633DC8"/>
    <w:rsid w:val="00636AC6"/>
    <w:rsid w:val="00652B27"/>
    <w:rsid w:val="0065302D"/>
    <w:rsid w:val="006533ED"/>
    <w:rsid w:val="0065419F"/>
    <w:rsid w:val="00655893"/>
    <w:rsid w:val="00656F7F"/>
    <w:rsid w:val="00664E97"/>
    <w:rsid w:val="0067388E"/>
    <w:rsid w:val="00673C3A"/>
    <w:rsid w:val="00673C86"/>
    <w:rsid w:val="0067424D"/>
    <w:rsid w:val="006834E6"/>
    <w:rsid w:val="006846F2"/>
    <w:rsid w:val="00684758"/>
    <w:rsid w:val="00690B81"/>
    <w:rsid w:val="00692CCC"/>
    <w:rsid w:val="006937DE"/>
    <w:rsid w:val="00696206"/>
    <w:rsid w:val="006A47FF"/>
    <w:rsid w:val="006B0AE0"/>
    <w:rsid w:val="006B37F7"/>
    <w:rsid w:val="006B38C6"/>
    <w:rsid w:val="006B7886"/>
    <w:rsid w:val="006C398A"/>
    <w:rsid w:val="006C6214"/>
    <w:rsid w:val="006C6972"/>
    <w:rsid w:val="006D0E8D"/>
    <w:rsid w:val="006D4117"/>
    <w:rsid w:val="006D66B9"/>
    <w:rsid w:val="006E3093"/>
    <w:rsid w:val="006E480B"/>
    <w:rsid w:val="006E7F3B"/>
    <w:rsid w:val="006F1A51"/>
    <w:rsid w:val="0070123F"/>
    <w:rsid w:val="00704CE0"/>
    <w:rsid w:val="007114A3"/>
    <w:rsid w:val="00716934"/>
    <w:rsid w:val="00720033"/>
    <w:rsid w:val="00723DC9"/>
    <w:rsid w:val="00734462"/>
    <w:rsid w:val="007348D4"/>
    <w:rsid w:val="007375DD"/>
    <w:rsid w:val="007450DD"/>
    <w:rsid w:val="0074612D"/>
    <w:rsid w:val="00746BBE"/>
    <w:rsid w:val="00765E43"/>
    <w:rsid w:val="00767B1B"/>
    <w:rsid w:val="00771CF3"/>
    <w:rsid w:val="00772893"/>
    <w:rsid w:val="007747F5"/>
    <w:rsid w:val="00777F7E"/>
    <w:rsid w:val="00782261"/>
    <w:rsid w:val="007847DE"/>
    <w:rsid w:val="00790E3B"/>
    <w:rsid w:val="00794E58"/>
    <w:rsid w:val="007A13D4"/>
    <w:rsid w:val="007A3C84"/>
    <w:rsid w:val="007A6211"/>
    <w:rsid w:val="007A7F33"/>
    <w:rsid w:val="007B046A"/>
    <w:rsid w:val="007C0E61"/>
    <w:rsid w:val="007C1B5F"/>
    <w:rsid w:val="007C446A"/>
    <w:rsid w:val="007C7175"/>
    <w:rsid w:val="007D0CA1"/>
    <w:rsid w:val="007D48F7"/>
    <w:rsid w:val="007E3575"/>
    <w:rsid w:val="007E67E8"/>
    <w:rsid w:val="007F10AF"/>
    <w:rsid w:val="007F5673"/>
    <w:rsid w:val="007F7864"/>
    <w:rsid w:val="00802E42"/>
    <w:rsid w:val="008040A1"/>
    <w:rsid w:val="008042AF"/>
    <w:rsid w:val="00805B95"/>
    <w:rsid w:val="008069C2"/>
    <w:rsid w:val="00811DE5"/>
    <w:rsid w:val="00822F4D"/>
    <w:rsid w:val="0082433E"/>
    <w:rsid w:val="00826341"/>
    <w:rsid w:val="00827F4F"/>
    <w:rsid w:val="008309EC"/>
    <w:rsid w:val="00833008"/>
    <w:rsid w:val="00833D8F"/>
    <w:rsid w:val="00836E99"/>
    <w:rsid w:val="00852190"/>
    <w:rsid w:val="00857BC6"/>
    <w:rsid w:val="00865797"/>
    <w:rsid w:val="008715A7"/>
    <w:rsid w:val="00872286"/>
    <w:rsid w:val="00876652"/>
    <w:rsid w:val="00877377"/>
    <w:rsid w:val="0087780B"/>
    <w:rsid w:val="00881929"/>
    <w:rsid w:val="00884619"/>
    <w:rsid w:val="00886FE2"/>
    <w:rsid w:val="00890B98"/>
    <w:rsid w:val="00891229"/>
    <w:rsid w:val="008A4F6B"/>
    <w:rsid w:val="008A50D7"/>
    <w:rsid w:val="008A6B50"/>
    <w:rsid w:val="008B12CE"/>
    <w:rsid w:val="008B2C1B"/>
    <w:rsid w:val="008B3EEC"/>
    <w:rsid w:val="008C0DC2"/>
    <w:rsid w:val="008C4B83"/>
    <w:rsid w:val="008C7CA8"/>
    <w:rsid w:val="008D00E8"/>
    <w:rsid w:val="008D34B1"/>
    <w:rsid w:val="008D43E4"/>
    <w:rsid w:val="008E3627"/>
    <w:rsid w:val="008E47F9"/>
    <w:rsid w:val="008E5B9C"/>
    <w:rsid w:val="008F3C0A"/>
    <w:rsid w:val="008F4F9A"/>
    <w:rsid w:val="008F5F0B"/>
    <w:rsid w:val="0091412E"/>
    <w:rsid w:val="00915517"/>
    <w:rsid w:val="00920044"/>
    <w:rsid w:val="00924C75"/>
    <w:rsid w:val="00932E30"/>
    <w:rsid w:val="0094486E"/>
    <w:rsid w:val="00945DA0"/>
    <w:rsid w:val="00950185"/>
    <w:rsid w:val="009511A2"/>
    <w:rsid w:val="00952BF8"/>
    <w:rsid w:val="009533D6"/>
    <w:rsid w:val="00964E12"/>
    <w:rsid w:val="00967973"/>
    <w:rsid w:val="00972F75"/>
    <w:rsid w:val="009750BD"/>
    <w:rsid w:val="00975DC4"/>
    <w:rsid w:val="0098244D"/>
    <w:rsid w:val="00983F9F"/>
    <w:rsid w:val="0099098A"/>
    <w:rsid w:val="00990DC7"/>
    <w:rsid w:val="00990FD2"/>
    <w:rsid w:val="00996C41"/>
    <w:rsid w:val="009978F0"/>
    <w:rsid w:val="009A0484"/>
    <w:rsid w:val="009A0C23"/>
    <w:rsid w:val="009A77F8"/>
    <w:rsid w:val="009A7DC2"/>
    <w:rsid w:val="009B201C"/>
    <w:rsid w:val="009B2B9E"/>
    <w:rsid w:val="009B47E2"/>
    <w:rsid w:val="009B622E"/>
    <w:rsid w:val="009B7CF0"/>
    <w:rsid w:val="009C6DE7"/>
    <w:rsid w:val="009D3680"/>
    <w:rsid w:val="009D64DE"/>
    <w:rsid w:val="009E3724"/>
    <w:rsid w:val="00A011EE"/>
    <w:rsid w:val="00A0220B"/>
    <w:rsid w:val="00A048B1"/>
    <w:rsid w:val="00A14035"/>
    <w:rsid w:val="00A1514E"/>
    <w:rsid w:val="00A156D3"/>
    <w:rsid w:val="00A16AE2"/>
    <w:rsid w:val="00A21F04"/>
    <w:rsid w:val="00A312FD"/>
    <w:rsid w:val="00A3173F"/>
    <w:rsid w:val="00A33314"/>
    <w:rsid w:val="00A33F35"/>
    <w:rsid w:val="00A40DB4"/>
    <w:rsid w:val="00A417F0"/>
    <w:rsid w:val="00A452DF"/>
    <w:rsid w:val="00A457B3"/>
    <w:rsid w:val="00A468DA"/>
    <w:rsid w:val="00A473FB"/>
    <w:rsid w:val="00A50240"/>
    <w:rsid w:val="00A61AAC"/>
    <w:rsid w:val="00A63432"/>
    <w:rsid w:val="00A67BCB"/>
    <w:rsid w:val="00A704C7"/>
    <w:rsid w:val="00A751EF"/>
    <w:rsid w:val="00A769C4"/>
    <w:rsid w:val="00A85D72"/>
    <w:rsid w:val="00A902B9"/>
    <w:rsid w:val="00A97E7C"/>
    <w:rsid w:val="00AA0EB5"/>
    <w:rsid w:val="00AA484F"/>
    <w:rsid w:val="00AA570B"/>
    <w:rsid w:val="00AA5720"/>
    <w:rsid w:val="00AA57F3"/>
    <w:rsid w:val="00AB0023"/>
    <w:rsid w:val="00AB3ACC"/>
    <w:rsid w:val="00AB6A68"/>
    <w:rsid w:val="00AC0128"/>
    <w:rsid w:val="00AC3780"/>
    <w:rsid w:val="00AC3ADF"/>
    <w:rsid w:val="00AC3BC7"/>
    <w:rsid w:val="00AC6C47"/>
    <w:rsid w:val="00AD5305"/>
    <w:rsid w:val="00AD55F1"/>
    <w:rsid w:val="00AD623C"/>
    <w:rsid w:val="00AD7C65"/>
    <w:rsid w:val="00AE337B"/>
    <w:rsid w:val="00AE3520"/>
    <w:rsid w:val="00AE72D0"/>
    <w:rsid w:val="00AE7371"/>
    <w:rsid w:val="00AE7647"/>
    <w:rsid w:val="00AF5367"/>
    <w:rsid w:val="00AF7612"/>
    <w:rsid w:val="00B03FDA"/>
    <w:rsid w:val="00B0436B"/>
    <w:rsid w:val="00B05BC9"/>
    <w:rsid w:val="00B061BF"/>
    <w:rsid w:val="00B07593"/>
    <w:rsid w:val="00B12B3D"/>
    <w:rsid w:val="00B17C42"/>
    <w:rsid w:val="00B205D8"/>
    <w:rsid w:val="00B2562E"/>
    <w:rsid w:val="00B26B47"/>
    <w:rsid w:val="00B30353"/>
    <w:rsid w:val="00B37129"/>
    <w:rsid w:val="00B37AF8"/>
    <w:rsid w:val="00B42191"/>
    <w:rsid w:val="00B445AD"/>
    <w:rsid w:val="00B47366"/>
    <w:rsid w:val="00B50DE1"/>
    <w:rsid w:val="00B51D5B"/>
    <w:rsid w:val="00B61678"/>
    <w:rsid w:val="00B62D42"/>
    <w:rsid w:val="00B639F0"/>
    <w:rsid w:val="00B712FE"/>
    <w:rsid w:val="00B721D3"/>
    <w:rsid w:val="00B7337E"/>
    <w:rsid w:val="00B767CD"/>
    <w:rsid w:val="00B801CE"/>
    <w:rsid w:val="00B805D3"/>
    <w:rsid w:val="00B81A36"/>
    <w:rsid w:val="00B862D0"/>
    <w:rsid w:val="00B87AA3"/>
    <w:rsid w:val="00B901E5"/>
    <w:rsid w:val="00B910C7"/>
    <w:rsid w:val="00B96930"/>
    <w:rsid w:val="00BA5E88"/>
    <w:rsid w:val="00BA6587"/>
    <w:rsid w:val="00BB0F9F"/>
    <w:rsid w:val="00BB55E1"/>
    <w:rsid w:val="00BC3109"/>
    <w:rsid w:val="00BC63BB"/>
    <w:rsid w:val="00BC7E00"/>
    <w:rsid w:val="00BD3510"/>
    <w:rsid w:val="00BD70F6"/>
    <w:rsid w:val="00BD7178"/>
    <w:rsid w:val="00BE146D"/>
    <w:rsid w:val="00BE1A5D"/>
    <w:rsid w:val="00BF0F0F"/>
    <w:rsid w:val="00BF5D0D"/>
    <w:rsid w:val="00C01ACA"/>
    <w:rsid w:val="00C04EB4"/>
    <w:rsid w:val="00C06887"/>
    <w:rsid w:val="00C076CD"/>
    <w:rsid w:val="00C160F8"/>
    <w:rsid w:val="00C22F90"/>
    <w:rsid w:val="00C24C5F"/>
    <w:rsid w:val="00C426C1"/>
    <w:rsid w:val="00C42FE6"/>
    <w:rsid w:val="00C45638"/>
    <w:rsid w:val="00C47215"/>
    <w:rsid w:val="00C47255"/>
    <w:rsid w:val="00C518FB"/>
    <w:rsid w:val="00C6110F"/>
    <w:rsid w:val="00C65F63"/>
    <w:rsid w:val="00C720B9"/>
    <w:rsid w:val="00C84943"/>
    <w:rsid w:val="00C857FE"/>
    <w:rsid w:val="00CA150E"/>
    <w:rsid w:val="00CA22A8"/>
    <w:rsid w:val="00CA4547"/>
    <w:rsid w:val="00CA6390"/>
    <w:rsid w:val="00CB0C6F"/>
    <w:rsid w:val="00CB3B8C"/>
    <w:rsid w:val="00CB6C75"/>
    <w:rsid w:val="00CC1197"/>
    <w:rsid w:val="00CC34EC"/>
    <w:rsid w:val="00CC35CD"/>
    <w:rsid w:val="00CC38B6"/>
    <w:rsid w:val="00CC524A"/>
    <w:rsid w:val="00CF0256"/>
    <w:rsid w:val="00D07D67"/>
    <w:rsid w:val="00D220D5"/>
    <w:rsid w:val="00D30B12"/>
    <w:rsid w:val="00D310FC"/>
    <w:rsid w:val="00D55D04"/>
    <w:rsid w:val="00D57FB7"/>
    <w:rsid w:val="00D65ECF"/>
    <w:rsid w:val="00D6746D"/>
    <w:rsid w:val="00D72ABE"/>
    <w:rsid w:val="00D75AE8"/>
    <w:rsid w:val="00D77869"/>
    <w:rsid w:val="00D902B3"/>
    <w:rsid w:val="00D922DB"/>
    <w:rsid w:val="00D93F51"/>
    <w:rsid w:val="00D95A72"/>
    <w:rsid w:val="00D97BB8"/>
    <w:rsid w:val="00DA1932"/>
    <w:rsid w:val="00DB06C6"/>
    <w:rsid w:val="00DB370F"/>
    <w:rsid w:val="00DC3D03"/>
    <w:rsid w:val="00DC6F13"/>
    <w:rsid w:val="00DD1253"/>
    <w:rsid w:val="00DD3A56"/>
    <w:rsid w:val="00DD6A99"/>
    <w:rsid w:val="00DE0A11"/>
    <w:rsid w:val="00DE5F0B"/>
    <w:rsid w:val="00DE77E8"/>
    <w:rsid w:val="00DE78C0"/>
    <w:rsid w:val="00E004BD"/>
    <w:rsid w:val="00E01644"/>
    <w:rsid w:val="00E020AF"/>
    <w:rsid w:val="00E027A2"/>
    <w:rsid w:val="00E06BDE"/>
    <w:rsid w:val="00E11D43"/>
    <w:rsid w:val="00E148F7"/>
    <w:rsid w:val="00E15430"/>
    <w:rsid w:val="00E2311A"/>
    <w:rsid w:val="00E23961"/>
    <w:rsid w:val="00E24896"/>
    <w:rsid w:val="00E25EDF"/>
    <w:rsid w:val="00E34D76"/>
    <w:rsid w:val="00E53567"/>
    <w:rsid w:val="00E66C07"/>
    <w:rsid w:val="00E70AD6"/>
    <w:rsid w:val="00E767C4"/>
    <w:rsid w:val="00E80FDE"/>
    <w:rsid w:val="00E95A55"/>
    <w:rsid w:val="00EA18EC"/>
    <w:rsid w:val="00EA26EE"/>
    <w:rsid w:val="00EA3A98"/>
    <w:rsid w:val="00EB380F"/>
    <w:rsid w:val="00EB400E"/>
    <w:rsid w:val="00EB4C57"/>
    <w:rsid w:val="00EB4CFD"/>
    <w:rsid w:val="00EB4D3A"/>
    <w:rsid w:val="00EB77E2"/>
    <w:rsid w:val="00EC48DD"/>
    <w:rsid w:val="00ED6E4A"/>
    <w:rsid w:val="00EF6BE7"/>
    <w:rsid w:val="00F03646"/>
    <w:rsid w:val="00F10063"/>
    <w:rsid w:val="00F11C4D"/>
    <w:rsid w:val="00F11E10"/>
    <w:rsid w:val="00F13097"/>
    <w:rsid w:val="00F176A1"/>
    <w:rsid w:val="00F26455"/>
    <w:rsid w:val="00F2672C"/>
    <w:rsid w:val="00F340A0"/>
    <w:rsid w:val="00F3525F"/>
    <w:rsid w:val="00F40D8F"/>
    <w:rsid w:val="00F4202F"/>
    <w:rsid w:val="00F564BD"/>
    <w:rsid w:val="00F627A1"/>
    <w:rsid w:val="00F63E07"/>
    <w:rsid w:val="00F76636"/>
    <w:rsid w:val="00F8154E"/>
    <w:rsid w:val="00F84E7A"/>
    <w:rsid w:val="00F85A4E"/>
    <w:rsid w:val="00F925D7"/>
    <w:rsid w:val="00F94E4A"/>
    <w:rsid w:val="00FA3463"/>
    <w:rsid w:val="00FA362D"/>
    <w:rsid w:val="00FA477A"/>
    <w:rsid w:val="00FA5DB9"/>
    <w:rsid w:val="00FB0B21"/>
    <w:rsid w:val="00FB10AD"/>
    <w:rsid w:val="00FC22EE"/>
    <w:rsid w:val="00FC537A"/>
    <w:rsid w:val="00FC78B7"/>
    <w:rsid w:val="00FD0645"/>
    <w:rsid w:val="00FD0E39"/>
    <w:rsid w:val="00FD6C2C"/>
    <w:rsid w:val="00FD7DE5"/>
    <w:rsid w:val="00FE00FA"/>
    <w:rsid w:val="00FE2FBB"/>
    <w:rsid w:val="00FE5126"/>
    <w:rsid w:val="00FF0C9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F742"/>
  <w15:docId w15:val="{DB763B5C-DE37-4125-B72D-B9EEDBC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link w:val="ListParagraphChar"/>
    <w:uiPriority w:val="34"/>
    <w:qFormat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E70AD6"/>
    <w:pPr>
      <w:tabs>
        <w:tab w:val="right" w:leader="dot" w:pos="9498"/>
      </w:tabs>
      <w:spacing w:after="100"/>
    </w:pPr>
    <w:rPr>
      <w:noProof/>
    </w:rPr>
  </w:style>
  <w:style w:type="table" w:styleId="TableGrid">
    <w:name w:val="Table Grid"/>
    <w:basedOn w:val="TableNormal"/>
    <w:uiPriority w:val="39"/>
    <w:rsid w:val="002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eading2"/>
    <w:link w:val="HeadingChar"/>
    <w:qFormat/>
    <w:rsid w:val="00734462"/>
    <w:pPr>
      <w:shd w:val="pct20" w:color="auto" w:fill="auto"/>
      <w:spacing w:before="360"/>
    </w:pPr>
  </w:style>
  <w:style w:type="character" w:customStyle="1" w:styleId="HeadingChar">
    <w:name w:val="Heading Char"/>
    <w:basedOn w:val="Heading2Char"/>
    <w:link w:val="Heading"/>
    <w:rsid w:val="00734462"/>
    <w:rPr>
      <w:rFonts w:ascii="Arial" w:eastAsiaTheme="majorEastAsia" w:hAnsi="Arial" w:cstheme="majorBidi"/>
      <w:b/>
      <w:bCs/>
      <w:kern w:val="28"/>
      <w:szCs w:val="26"/>
      <w:shd w:val="pct20" w:color="auto" w:fill="auto"/>
      <w:lang w:eastAsia="en-AU"/>
      <w14:ligatures w14:val="standard"/>
      <w14:cntxtAlts/>
    </w:rPr>
  </w:style>
  <w:style w:type="paragraph" w:customStyle="1" w:styleId="NumberedParagraph">
    <w:name w:val="Numbered Paragraph"/>
    <w:basedOn w:val="ListParagraph"/>
    <w:link w:val="NumberedParagraphChar"/>
    <w:qFormat/>
    <w:rsid w:val="00734462"/>
    <w:pPr>
      <w:numPr>
        <w:numId w:val="1"/>
      </w:numPr>
      <w:spacing w:after="120"/>
      <w:ind w:left="357" w:hanging="357"/>
      <w:contextualSpacing w:val="0"/>
    </w:pPr>
    <w:rPr>
      <w:szCs w:val="22"/>
    </w:rPr>
  </w:style>
  <w:style w:type="paragraph" w:customStyle="1" w:styleId="Sub-numberedparagraph">
    <w:name w:val="Sub-numbered paragraph"/>
    <w:basedOn w:val="NumberedParagraph"/>
    <w:link w:val="Sub-numberedparagraphChar"/>
    <w:qFormat/>
    <w:rsid w:val="00A16AE2"/>
    <w:pPr>
      <w:numPr>
        <w:ilvl w:val="1"/>
      </w:numPr>
      <w:ind w:left="851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NumberedParagraphChar">
    <w:name w:val="Numbered Paragraph Char"/>
    <w:basedOn w:val="ListParagraphChar"/>
    <w:link w:val="NumberedParagraph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Sub-bulletpoint">
    <w:name w:val="Sub-bullet point"/>
    <w:basedOn w:val="NumberedParagraph"/>
    <w:link w:val="Sub-bulletpointChar"/>
    <w:qFormat/>
    <w:rsid w:val="00A16AE2"/>
    <w:pPr>
      <w:numPr>
        <w:ilvl w:val="1"/>
        <w:numId w:val="2"/>
      </w:numPr>
      <w:ind w:left="567" w:hanging="283"/>
    </w:pPr>
  </w:style>
  <w:style w:type="character" w:customStyle="1" w:styleId="Sub-numberedparagraphChar">
    <w:name w:val="Sub-numbered paragraph Char"/>
    <w:basedOn w:val="NumberedParagraphChar"/>
    <w:link w:val="Sub-numberedparagraph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Sub-bulletpointChar">
    <w:name w:val="Sub-bullet point Char"/>
    <w:basedOn w:val="NumberedParagraphChar"/>
    <w:link w:val="Sub-bulletpoint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Default">
    <w:name w:val="Default"/>
    <w:rsid w:val="00B17C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customStyle="1" w:styleId="ta-response-item-content">
    <w:name w:val="ta-response-item-content"/>
    <w:basedOn w:val="Normal"/>
    <w:rsid w:val="00D72AB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ta-response-item-date">
    <w:name w:val="ta-response-item-date"/>
    <w:basedOn w:val="DefaultParagraphFont"/>
    <w:rsid w:val="00D72ABE"/>
  </w:style>
  <w:style w:type="character" w:customStyle="1" w:styleId="apple-converted-space">
    <w:name w:val="apple-converted-space"/>
    <w:basedOn w:val="DefaultParagraphFont"/>
    <w:rsid w:val="00D72ABE"/>
  </w:style>
  <w:style w:type="character" w:styleId="CommentReference">
    <w:name w:val="annotation reference"/>
    <w:basedOn w:val="DefaultParagraphFont"/>
    <w:uiPriority w:val="99"/>
    <w:semiHidden/>
    <w:unhideWhenUsed/>
    <w:rsid w:val="0047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C5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C5"/>
    <w:rPr>
      <w:rFonts w:ascii="Arial" w:eastAsia="Times New Roman" w:hAnsi="Arial" w:cs="Calibri"/>
      <w:b/>
      <w:bCs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Revision">
    <w:name w:val="Revision"/>
    <w:hidden/>
    <w:uiPriority w:val="99"/>
    <w:semiHidden/>
    <w:rsid w:val="00F10063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TOC3">
    <w:name w:val="toc 3"/>
    <w:basedOn w:val="Normal"/>
    <w:next w:val="Normal"/>
    <w:autoRedefine/>
    <w:uiPriority w:val="39"/>
    <w:unhideWhenUsed/>
    <w:rsid w:val="008309EC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kern w:val="0"/>
      <w:szCs w:val="22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40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5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85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9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4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032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4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97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8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359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54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8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1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7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91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653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5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78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6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79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1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01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31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22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205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37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9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16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92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67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96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75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10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4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22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7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75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62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19E8-9F58-4491-B23E-7A51BAAF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David Nowak</cp:lastModifiedBy>
  <cp:revision>2</cp:revision>
  <cp:lastPrinted>2018-11-26T00:49:00Z</cp:lastPrinted>
  <dcterms:created xsi:type="dcterms:W3CDTF">2019-10-07T23:19:00Z</dcterms:created>
  <dcterms:modified xsi:type="dcterms:W3CDTF">2019-10-07T23:19:00Z</dcterms:modified>
</cp:coreProperties>
</file>