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F3" w:rsidRPr="00B72055" w:rsidRDefault="000D07CE" w:rsidP="000D07CE">
      <w:pPr>
        <w:rPr>
          <w:szCs w:val="22"/>
        </w:rPr>
      </w:pPr>
      <w:r w:rsidRPr="00B72055">
        <w:rPr>
          <w:szCs w:val="22"/>
        </w:rPr>
        <w:t xml:space="preserve">When a plaintiff is applying for </w:t>
      </w:r>
      <w:r w:rsidR="00720782">
        <w:rPr>
          <w:szCs w:val="22"/>
        </w:rPr>
        <w:t>Judgment</w:t>
      </w:r>
      <w:r w:rsidRPr="00B72055">
        <w:rPr>
          <w:szCs w:val="22"/>
        </w:rPr>
        <w:t xml:space="preserve"> in Default of Appearance against a defendant</w:t>
      </w:r>
      <w:r w:rsidR="00C75764">
        <w:rPr>
          <w:szCs w:val="22"/>
        </w:rPr>
        <w:t>/s</w:t>
      </w:r>
      <w:r w:rsidRPr="00B72055">
        <w:rPr>
          <w:szCs w:val="22"/>
        </w:rPr>
        <w:t xml:space="preserve">, an </w:t>
      </w:r>
      <w:r w:rsidR="00720782">
        <w:rPr>
          <w:szCs w:val="22"/>
        </w:rPr>
        <w:t>Affidavit</w:t>
      </w:r>
      <w:r w:rsidRPr="00B72055">
        <w:rPr>
          <w:szCs w:val="22"/>
        </w:rPr>
        <w:t xml:space="preserve"> of Service of that originating process is required</w:t>
      </w:r>
      <w:r w:rsidRPr="00B72055">
        <w:rPr>
          <w:i/>
          <w:szCs w:val="22"/>
        </w:rPr>
        <w:t xml:space="preserve"> (</w:t>
      </w:r>
      <w:r w:rsidR="00141947" w:rsidRPr="00B72055">
        <w:rPr>
          <w:i/>
          <w:szCs w:val="22"/>
        </w:rPr>
        <w:t>R</w:t>
      </w:r>
      <w:r w:rsidRPr="00B72055">
        <w:rPr>
          <w:i/>
          <w:szCs w:val="22"/>
        </w:rPr>
        <w:t xml:space="preserve">21.02(3)(b)). </w:t>
      </w:r>
    </w:p>
    <w:p w:rsidR="000D07CE" w:rsidRPr="00B72055" w:rsidRDefault="000D07CE" w:rsidP="000D07CE">
      <w:pPr>
        <w:rPr>
          <w:b/>
          <w:szCs w:val="22"/>
        </w:rPr>
      </w:pPr>
    </w:p>
    <w:p w:rsidR="00F668A0" w:rsidRPr="00B72055" w:rsidRDefault="00720782" w:rsidP="000D07CE">
      <w:pPr>
        <w:rPr>
          <w:b/>
          <w:szCs w:val="22"/>
        </w:rPr>
      </w:pPr>
      <w:r>
        <w:rPr>
          <w:b/>
          <w:szCs w:val="22"/>
        </w:rPr>
        <w:t>AFFIDAVIT</w:t>
      </w:r>
      <w:r w:rsidR="00C93CAD">
        <w:rPr>
          <w:b/>
          <w:szCs w:val="22"/>
        </w:rPr>
        <w:t xml:space="preserve"> OF SERVICE OF AN ORIGINATING PROCESS </w:t>
      </w:r>
    </w:p>
    <w:p w:rsidR="005C2577" w:rsidRPr="00B72055" w:rsidRDefault="005C2577" w:rsidP="000D07CE">
      <w:pPr>
        <w:rPr>
          <w:b/>
          <w:szCs w:val="22"/>
        </w:rPr>
      </w:pPr>
    </w:p>
    <w:p w:rsidR="000D07CE" w:rsidRPr="00B72055" w:rsidRDefault="00497AAB" w:rsidP="000D07CE">
      <w:pPr>
        <w:rPr>
          <w:b/>
          <w:szCs w:val="22"/>
        </w:rPr>
      </w:pPr>
      <w:r w:rsidRPr="00B72055">
        <w:rPr>
          <w:b/>
          <w:szCs w:val="22"/>
        </w:rPr>
        <w:t xml:space="preserve">For personal service, </w:t>
      </w:r>
      <w:r w:rsidRPr="00B72055">
        <w:rPr>
          <w:szCs w:val="22"/>
        </w:rPr>
        <w:t xml:space="preserve">the </w:t>
      </w:r>
      <w:r w:rsidR="00720782">
        <w:rPr>
          <w:szCs w:val="22"/>
        </w:rPr>
        <w:t>Affidavit</w:t>
      </w:r>
      <w:r w:rsidRPr="00B72055">
        <w:rPr>
          <w:szCs w:val="22"/>
        </w:rPr>
        <w:t xml:space="preserve"> must</w:t>
      </w:r>
      <w:r w:rsidR="000D07CE" w:rsidRPr="00B72055">
        <w:rPr>
          <w:b/>
          <w:szCs w:val="22"/>
        </w:rPr>
        <w:t xml:space="preserve">: </w:t>
      </w:r>
    </w:p>
    <w:p w:rsidR="0030696F" w:rsidRPr="0030696F" w:rsidRDefault="0030696F" w:rsidP="0030696F">
      <w:pPr>
        <w:pStyle w:val="ListParagraph"/>
        <w:numPr>
          <w:ilvl w:val="0"/>
          <w:numId w:val="26"/>
        </w:numPr>
        <w:rPr>
          <w:szCs w:val="22"/>
        </w:rPr>
      </w:pPr>
      <w:r>
        <w:rPr>
          <w:szCs w:val="22"/>
        </w:rPr>
        <w:t>State the name of the person who served the Originating Process</w:t>
      </w:r>
      <w:r w:rsidR="000D07CE" w:rsidRPr="00B72055">
        <w:rPr>
          <w:szCs w:val="22"/>
        </w:rPr>
        <w:t xml:space="preserve"> </w:t>
      </w:r>
      <w:r w:rsidR="00497AAB" w:rsidRPr="004C4870">
        <w:rPr>
          <w:szCs w:val="22"/>
        </w:rPr>
        <w:t>(</w:t>
      </w:r>
      <w:r w:rsidR="00141947" w:rsidRPr="00B72055">
        <w:rPr>
          <w:i/>
          <w:szCs w:val="22"/>
        </w:rPr>
        <w:t>R</w:t>
      </w:r>
      <w:r w:rsidR="00497AAB" w:rsidRPr="00B72055">
        <w:rPr>
          <w:i/>
          <w:szCs w:val="22"/>
        </w:rPr>
        <w:t>6.17(1)(a)</w:t>
      </w:r>
      <w:r w:rsidR="00497AAB" w:rsidRPr="004C4870">
        <w:rPr>
          <w:szCs w:val="22"/>
        </w:rPr>
        <w:t>)</w:t>
      </w:r>
    </w:p>
    <w:p w:rsidR="009C2377" w:rsidRPr="00B72055" w:rsidRDefault="009C2377" w:rsidP="009C2377">
      <w:pPr>
        <w:pStyle w:val="ListParagraph"/>
        <w:numPr>
          <w:ilvl w:val="0"/>
          <w:numId w:val="26"/>
        </w:numPr>
        <w:rPr>
          <w:szCs w:val="22"/>
        </w:rPr>
      </w:pPr>
      <w:r w:rsidRPr="00B72055">
        <w:rPr>
          <w:szCs w:val="22"/>
        </w:rPr>
        <w:t>State that the Originating Process was personally served upon the defendant</w:t>
      </w:r>
      <w:r>
        <w:rPr>
          <w:szCs w:val="22"/>
        </w:rPr>
        <w:t xml:space="preserve"> and include the</w:t>
      </w:r>
      <w:r w:rsidR="00A4261E">
        <w:rPr>
          <w:szCs w:val="22"/>
        </w:rPr>
        <w:t xml:space="preserve"> time, </w:t>
      </w:r>
      <w:r w:rsidRPr="00B72055">
        <w:rPr>
          <w:szCs w:val="22"/>
        </w:rPr>
        <w:t>date and the place of service (</w:t>
      </w:r>
      <w:r w:rsidRPr="00112180">
        <w:rPr>
          <w:i/>
          <w:szCs w:val="22"/>
        </w:rPr>
        <w:t>R6.17(1)</w:t>
      </w:r>
      <w:r>
        <w:rPr>
          <w:szCs w:val="22"/>
        </w:rPr>
        <w:t xml:space="preserve"> and </w:t>
      </w:r>
      <w:r w:rsidRPr="009C2377">
        <w:rPr>
          <w:i/>
          <w:szCs w:val="22"/>
        </w:rPr>
        <w:t>R6.17(1)</w:t>
      </w:r>
      <w:r>
        <w:rPr>
          <w:i/>
          <w:szCs w:val="22"/>
        </w:rPr>
        <w:t>(c</w:t>
      </w:r>
      <w:r w:rsidRPr="009C2377">
        <w:rPr>
          <w:i/>
          <w:szCs w:val="22"/>
        </w:rPr>
        <w:t>))</w:t>
      </w:r>
    </w:p>
    <w:p w:rsidR="00720782" w:rsidRDefault="00112180" w:rsidP="00497AAB">
      <w:pPr>
        <w:pStyle w:val="ListParagraph"/>
        <w:numPr>
          <w:ilvl w:val="0"/>
          <w:numId w:val="26"/>
        </w:numPr>
        <w:rPr>
          <w:szCs w:val="22"/>
        </w:rPr>
      </w:pPr>
      <w:r>
        <w:t xml:space="preserve">Provide an </w:t>
      </w:r>
      <w:r w:rsidR="00720782">
        <w:t>identification clause stating the manner of identi</w:t>
      </w:r>
      <w:r>
        <w:t>fication of the person served</w:t>
      </w:r>
      <w:r w:rsidR="008620C3">
        <w:t xml:space="preserve"> (</w:t>
      </w:r>
      <w:r w:rsidR="008620C3" w:rsidRPr="004157A5">
        <w:rPr>
          <w:i/>
        </w:rPr>
        <w:t>R6.17(1)(d)</w:t>
      </w:r>
      <w:r w:rsidR="00581A92" w:rsidRPr="00581A92">
        <w:t>)</w:t>
      </w:r>
      <w:r w:rsidRPr="004157A5">
        <w:rPr>
          <w:i/>
        </w:rPr>
        <w:t>.</w:t>
      </w:r>
      <w:r>
        <w:t xml:space="preserve"> T</w:t>
      </w:r>
      <w:r w:rsidR="00720782">
        <w:t>his can be by a statement from that Defendant as to their identity</w:t>
      </w:r>
      <w:r w:rsidR="00720782" w:rsidRPr="00B72055">
        <w:rPr>
          <w:szCs w:val="22"/>
        </w:rPr>
        <w:t xml:space="preserve"> </w:t>
      </w:r>
      <w:r w:rsidR="00720782">
        <w:rPr>
          <w:szCs w:val="22"/>
        </w:rPr>
        <w:t>(</w:t>
      </w:r>
      <w:r w:rsidR="00720782" w:rsidRPr="00720782">
        <w:rPr>
          <w:i/>
          <w:szCs w:val="22"/>
        </w:rPr>
        <w:t>R6.08)</w:t>
      </w:r>
    </w:p>
    <w:p w:rsidR="0024746E" w:rsidRPr="0024746E" w:rsidRDefault="00497AAB" w:rsidP="0024746E">
      <w:pPr>
        <w:pStyle w:val="ListParagraph"/>
        <w:numPr>
          <w:ilvl w:val="0"/>
          <w:numId w:val="26"/>
        </w:numPr>
        <w:rPr>
          <w:szCs w:val="22"/>
        </w:rPr>
      </w:pPr>
      <w:r w:rsidRPr="00B72055">
        <w:rPr>
          <w:szCs w:val="22"/>
        </w:rPr>
        <w:t>Exhibit a sealed copy of the Originating Process (</w:t>
      </w:r>
      <w:r w:rsidRPr="00B72055">
        <w:rPr>
          <w:i/>
          <w:szCs w:val="22"/>
        </w:rPr>
        <w:t>R6.17(3))</w:t>
      </w:r>
      <w:r w:rsidR="0024746E">
        <w:rPr>
          <w:i/>
          <w:szCs w:val="22"/>
        </w:rPr>
        <w:t xml:space="preserve"> and </w:t>
      </w:r>
      <w:r w:rsidR="0024746E" w:rsidRPr="00581A92">
        <w:rPr>
          <w:szCs w:val="22"/>
        </w:rPr>
        <w:t>(</w:t>
      </w:r>
      <w:r w:rsidR="0024746E">
        <w:rPr>
          <w:i/>
          <w:szCs w:val="22"/>
        </w:rPr>
        <w:t>R6.17(4)</w:t>
      </w:r>
      <w:r w:rsidR="0024746E" w:rsidRPr="00581A92">
        <w:rPr>
          <w:szCs w:val="22"/>
        </w:rPr>
        <w:t>)</w:t>
      </w:r>
    </w:p>
    <w:p w:rsidR="00497AAB" w:rsidRPr="00B72055" w:rsidRDefault="00497AAB" w:rsidP="00497AAB">
      <w:pPr>
        <w:rPr>
          <w:b/>
          <w:szCs w:val="22"/>
        </w:rPr>
      </w:pPr>
    </w:p>
    <w:p w:rsidR="00497AAB" w:rsidRPr="00B72055" w:rsidRDefault="00497AAB" w:rsidP="00497AAB">
      <w:pPr>
        <w:rPr>
          <w:b/>
          <w:szCs w:val="22"/>
        </w:rPr>
      </w:pPr>
      <w:r w:rsidRPr="00B72055">
        <w:rPr>
          <w:b/>
          <w:szCs w:val="22"/>
        </w:rPr>
        <w:t xml:space="preserve">For service on a corporation, </w:t>
      </w:r>
      <w:r w:rsidRPr="00B72055">
        <w:rPr>
          <w:szCs w:val="22"/>
        </w:rPr>
        <w:t xml:space="preserve">the </w:t>
      </w:r>
      <w:r w:rsidR="00720782">
        <w:rPr>
          <w:szCs w:val="22"/>
        </w:rPr>
        <w:t>Affidavit</w:t>
      </w:r>
      <w:r w:rsidRPr="00B72055">
        <w:rPr>
          <w:szCs w:val="22"/>
        </w:rPr>
        <w:t xml:space="preserve"> must:</w:t>
      </w:r>
      <w:r w:rsidRPr="00B72055">
        <w:rPr>
          <w:b/>
          <w:szCs w:val="22"/>
        </w:rPr>
        <w:t xml:space="preserve"> </w:t>
      </w:r>
    </w:p>
    <w:p w:rsidR="005C2577" w:rsidRPr="00B72055" w:rsidRDefault="005C2577" w:rsidP="00497AAB">
      <w:pPr>
        <w:pStyle w:val="ListParagraph"/>
        <w:numPr>
          <w:ilvl w:val="0"/>
          <w:numId w:val="16"/>
        </w:numPr>
        <w:rPr>
          <w:szCs w:val="22"/>
        </w:rPr>
      </w:pPr>
      <w:r w:rsidRPr="00B72055">
        <w:rPr>
          <w:szCs w:val="22"/>
        </w:rPr>
        <w:t xml:space="preserve">State that the Originating Process was served upon the </w:t>
      </w:r>
      <w:r w:rsidRPr="00B72055">
        <w:rPr>
          <w:szCs w:val="22"/>
          <w:u w:val="single"/>
        </w:rPr>
        <w:t>registered office</w:t>
      </w:r>
      <w:r w:rsidRPr="00B72055">
        <w:rPr>
          <w:szCs w:val="22"/>
        </w:rPr>
        <w:t xml:space="preserve"> of a defendant corporation </w:t>
      </w:r>
      <w:r w:rsidR="00A4261E" w:rsidRPr="00B72055">
        <w:rPr>
          <w:i/>
          <w:szCs w:val="22"/>
        </w:rPr>
        <w:t>(s109</w:t>
      </w:r>
      <w:r w:rsidR="008620C3">
        <w:rPr>
          <w:i/>
          <w:szCs w:val="22"/>
        </w:rPr>
        <w:t>X</w:t>
      </w:r>
      <w:r w:rsidR="00A4261E" w:rsidRPr="00B72055">
        <w:rPr>
          <w:i/>
          <w:szCs w:val="22"/>
        </w:rPr>
        <w:t>(1)(a) Corporations Act 2001 (Cth)</w:t>
      </w:r>
      <w:r w:rsidR="00A4261E" w:rsidRPr="004157A5">
        <w:rPr>
          <w:szCs w:val="22"/>
        </w:rPr>
        <w:t>)</w:t>
      </w:r>
    </w:p>
    <w:p w:rsidR="00497AAB" w:rsidRPr="00B72055" w:rsidRDefault="004F480C" w:rsidP="00497AA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 w:cs="Arial"/>
          <w:i/>
          <w:color w:val="auto"/>
          <w:kern w:val="0"/>
          <w:szCs w:val="22"/>
          <w:lang w:eastAsia="en-US"/>
          <w14:ligatures w14:val="none"/>
          <w14:cntxtAlts w14:val="0"/>
        </w:rPr>
      </w:pPr>
      <w:r w:rsidRPr="00B72055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 xml:space="preserve">State </w:t>
      </w:r>
      <w:r w:rsidR="007637FF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 xml:space="preserve">all other </w:t>
      </w:r>
      <w:r w:rsidR="00497AAB" w:rsidRPr="00B72055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 xml:space="preserve">relevant facts constituting service </w:t>
      </w:r>
      <w:r w:rsidR="00497AAB" w:rsidRPr="00581A92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>(</w:t>
      </w:r>
      <w:r w:rsidR="00F668A0" w:rsidRPr="00B72055">
        <w:rPr>
          <w:rFonts w:eastAsiaTheme="minorHAnsi" w:cs="Arial"/>
          <w:i/>
          <w:color w:val="auto"/>
          <w:kern w:val="0"/>
          <w:szCs w:val="22"/>
          <w:lang w:eastAsia="en-US"/>
          <w14:ligatures w14:val="none"/>
          <w14:cntxtAlts w14:val="0"/>
        </w:rPr>
        <w:t>R</w:t>
      </w:r>
      <w:r w:rsidR="00497AAB" w:rsidRPr="00B72055">
        <w:rPr>
          <w:rFonts w:eastAsiaTheme="minorHAnsi" w:cs="Arial"/>
          <w:i/>
          <w:color w:val="auto"/>
          <w:kern w:val="0"/>
          <w:szCs w:val="22"/>
          <w:lang w:eastAsia="en-US"/>
          <w14:ligatures w14:val="none"/>
          <w14:cntxtAlts w14:val="0"/>
        </w:rPr>
        <w:t>6.17(2)</w:t>
      </w:r>
      <w:r w:rsidR="00497AAB" w:rsidRPr="00581A92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>)</w:t>
      </w:r>
    </w:p>
    <w:p w:rsidR="00015347" w:rsidRPr="007D3265" w:rsidRDefault="0024746E" w:rsidP="00015347">
      <w:pPr>
        <w:pStyle w:val="ListParagraph"/>
        <w:numPr>
          <w:ilvl w:val="0"/>
          <w:numId w:val="27"/>
        </w:numPr>
        <w:rPr>
          <w:szCs w:val="22"/>
        </w:rPr>
      </w:pPr>
      <w:r w:rsidRPr="00B72055">
        <w:rPr>
          <w:szCs w:val="22"/>
        </w:rPr>
        <w:t>Exhibit a sealed copy of the Originating Process (</w:t>
      </w:r>
      <w:r w:rsidRPr="00B72055">
        <w:rPr>
          <w:i/>
          <w:szCs w:val="22"/>
        </w:rPr>
        <w:t>R6.17(3))</w:t>
      </w:r>
      <w:r>
        <w:rPr>
          <w:i/>
          <w:szCs w:val="22"/>
        </w:rPr>
        <w:t xml:space="preserve"> and </w:t>
      </w:r>
      <w:r w:rsidRPr="00581A92">
        <w:rPr>
          <w:szCs w:val="22"/>
        </w:rPr>
        <w:t>(</w:t>
      </w:r>
      <w:r>
        <w:rPr>
          <w:i/>
          <w:szCs w:val="22"/>
        </w:rPr>
        <w:t>R6.17(4)</w:t>
      </w:r>
      <w:r w:rsidRPr="00581A92">
        <w:rPr>
          <w:szCs w:val="22"/>
        </w:rPr>
        <w:t>)</w:t>
      </w:r>
    </w:p>
    <w:p w:rsidR="00754D5B" w:rsidRDefault="00754D5B" w:rsidP="00015347">
      <w:pPr>
        <w:rPr>
          <w:szCs w:val="22"/>
        </w:rPr>
      </w:pPr>
    </w:p>
    <w:p w:rsidR="00754D5B" w:rsidRDefault="00754D5B" w:rsidP="00015347">
      <w:pPr>
        <w:rPr>
          <w:szCs w:val="22"/>
        </w:rPr>
      </w:pPr>
      <w:r w:rsidRPr="00E87E02">
        <w:rPr>
          <w:b/>
          <w:szCs w:val="22"/>
        </w:rPr>
        <w:t>If servi</w:t>
      </w:r>
      <w:r w:rsidR="00E87E02">
        <w:rPr>
          <w:b/>
          <w:szCs w:val="22"/>
        </w:rPr>
        <w:t>ce has been effected by</w:t>
      </w:r>
      <w:r w:rsidRPr="00E87E02">
        <w:rPr>
          <w:b/>
          <w:szCs w:val="22"/>
        </w:rPr>
        <w:t xml:space="preserve"> post</w:t>
      </w:r>
      <w:r w:rsidR="00E87E02">
        <w:rPr>
          <w:szCs w:val="22"/>
        </w:rPr>
        <w:t>:</w:t>
      </w:r>
    </w:p>
    <w:p w:rsidR="00FE2036" w:rsidRDefault="00FE2036" w:rsidP="00FE2036">
      <w:pPr>
        <w:pStyle w:val="ListParagraph"/>
        <w:numPr>
          <w:ilvl w:val="0"/>
          <w:numId w:val="33"/>
        </w:numPr>
        <w:rPr>
          <w:szCs w:val="22"/>
        </w:rPr>
      </w:pPr>
      <w:r w:rsidRPr="00FE2036">
        <w:rPr>
          <w:szCs w:val="22"/>
        </w:rPr>
        <w:t xml:space="preserve">Service of documents is taken </w:t>
      </w:r>
      <w:r w:rsidR="00647D4E">
        <w:rPr>
          <w:szCs w:val="22"/>
        </w:rPr>
        <w:t xml:space="preserve">to be </w:t>
      </w:r>
      <w:r w:rsidR="00290C88">
        <w:rPr>
          <w:szCs w:val="22"/>
        </w:rPr>
        <w:t xml:space="preserve">effected </w:t>
      </w:r>
      <w:r w:rsidRPr="00FE2036">
        <w:rPr>
          <w:szCs w:val="22"/>
        </w:rPr>
        <w:t>the day delivered in the normal course of post (</w:t>
      </w:r>
      <w:r w:rsidRPr="00FE2036">
        <w:rPr>
          <w:i/>
          <w:szCs w:val="22"/>
        </w:rPr>
        <w:t>R6.07(5)(a)</w:t>
      </w:r>
      <w:r w:rsidRPr="00FE2036">
        <w:rPr>
          <w:szCs w:val="22"/>
        </w:rPr>
        <w:t>)</w:t>
      </w:r>
      <w:r>
        <w:rPr>
          <w:szCs w:val="22"/>
        </w:rPr>
        <w:t xml:space="preserve">. </w:t>
      </w:r>
    </w:p>
    <w:p w:rsidR="00290C88" w:rsidRDefault="00290C88" w:rsidP="00290C88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Reliance may be placed on the presumption in </w:t>
      </w:r>
      <w:r w:rsidRPr="004157A5">
        <w:rPr>
          <w:i/>
          <w:szCs w:val="22"/>
        </w:rPr>
        <w:t xml:space="preserve">s.160(1) </w:t>
      </w:r>
      <w:r>
        <w:rPr>
          <w:szCs w:val="22"/>
        </w:rPr>
        <w:t xml:space="preserve">of the </w:t>
      </w:r>
      <w:r w:rsidRPr="004157A5">
        <w:rPr>
          <w:i/>
          <w:szCs w:val="22"/>
        </w:rPr>
        <w:t>Evidence Act (2008)</w:t>
      </w:r>
      <w:r>
        <w:rPr>
          <w:szCs w:val="22"/>
        </w:rPr>
        <w:t xml:space="preserve"> (Vic) that an article sent by prepaid  post </w:t>
      </w:r>
      <w:r w:rsidRPr="00290C88">
        <w:rPr>
          <w:szCs w:val="22"/>
        </w:rPr>
        <w:t>addressed to a person at a specified address in Australia or in an external Territory was received at that address on the fourth working day after having been posted</w:t>
      </w:r>
      <w:r w:rsidR="008C5BEF">
        <w:rPr>
          <w:szCs w:val="22"/>
        </w:rPr>
        <w:t>.</w:t>
      </w:r>
    </w:p>
    <w:p w:rsidR="00FE2036" w:rsidRDefault="00DA344B" w:rsidP="00FE2036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The </w:t>
      </w:r>
      <w:r w:rsidR="00FE2036">
        <w:rPr>
          <w:szCs w:val="22"/>
        </w:rPr>
        <w:t xml:space="preserve">type of postal delivery (ie </w:t>
      </w:r>
      <w:r w:rsidR="003C68CD">
        <w:rPr>
          <w:szCs w:val="22"/>
        </w:rPr>
        <w:t>regular, p</w:t>
      </w:r>
      <w:r w:rsidR="00FE2036">
        <w:rPr>
          <w:szCs w:val="22"/>
        </w:rPr>
        <w:t xml:space="preserve">riority, </w:t>
      </w:r>
      <w:r w:rsidR="003C68CD">
        <w:rPr>
          <w:szCs w:val="22"/>
        </w:rPr>
        <w:t xml:space="preserve">express, or </w:t>
      </w:r>
      <w:r w:rsidR="001211BF">
        <w:rPr>
          <w:szCs w:val="22"/>
        </w:rPr>
        <w:t>registered</w:t>
      </w:r>
      <w:r w:rsidR="00FE2036">
        <w:rPr>
          <w:szCs w:val="22"/>
        </w:rPr>
        <w:t xml:space="preserve">) </w:t>
      </w:r>
      <w:r w:rsidR="00532595">
        <w:rPr>
          <w:szCs w:val="22"/>
        </w:rPr>
        <w:t>and the suburb the documents are sent</w:t>
      </w:r>
      <w:r w:rsidR="001A52F1">
        <w:rPr>
          <w:szCs w:val="22"/>
        </w:rPr>
        <w:t xml:space="preserve"> </w:t>
      </w:r>
      <w:r w:rsidR="00532595">
        <w:rPr>
          <w:szCs w:val="22"/>
        </w:rPr>
        <w:t>to and from</w:t>
      </w:r>
      <w:r w:rsidR="001A52F1">
        <w:rPr>
          <w:szCs w:val="22"/>
        </w:rPr>
        <w:t xml:space="preserve"> </w:t>
      </w:r>
      <w:r w:rsidR="00FE2036">
        <w:rPr>
          <w:szCs w:val="22"/>
        </w:rPr>
        <w:t xml:space="preserve">must be considered when calculating time. </w:t>
      </w:r>
    </w:p>
    <w:p w:rsidR="00497AAB" w:rsidRPr="00820064" w:rsidRDefault="00820064" w:rsidP="00171482">
      <w:pPr>
        <w:pStyle w:val="ListParagraph"/>
        <w:numPr>
          <w:ilvl w:val="0"/>
          <w:numId w:val="33"/>
        </w:numPr>
        <w:rPr>
          <w:rFonts w:cs="Arial"/>
          <w:b/>
          <w:szCs w:val="22"/>
        </w:rPr>
      </w:pPr>
      <w:r w:rsidRPr="00820064">
        <w:rPr>
          <w:szCs w:val="22"/>
        </w:rPr>
        <w:t xml:space="preserve">If delivery is prior to the normal course of post, </w:t>
      </w:r>
      <w:r w:rsidR="00647D4E">
        <w:rPr>
          <w:szCs w:val="22"/>
        </w:rPr>
        <w:t>a</w:t>
      </w:r>
      <w:r w:rsidR="00FE2036" w:rsidRPr="00820064">
        <w:rPr>
          <w:szCs w:val="22"/>
        </w:rPr>
        <w:t>ffidavit material or exhibits proving the date of de</w:t>
      </w:r>
      <w:r w:rsidRPr="00820064">
        <w:rPr>
          <w:szCs w:val="22"/>
        </w:rPr>
        <w:t xml:space="preserve">livery </w:t>
      </w:r>
      <w:r>
        <w:rPr>
          <w:szCs w:val="22"/>
        </w:rPr>
        <w:t>must be provided.</w:t>
      </w:r>
    </w:p>
    <w:p w:rsidR="00820064" w:rsidRPr="00820064" w:rsidRDefault="00820064" w:rsidP="00820064">
      <w:pPr>
        <w:pStyle w:val="ListParagraph"/>
        <w:rPr>
          <w:rFonts w:cs="Arial"/>
          <w:b/>
          <w:szCs w:val="22"/>
        </w:rPr>
      </w:pPr>
    </w:p>
    <w:p w:rsidR="007637FF" w:rsidRDefault="007637FF" w:rsidP="00497AAB">
      <w:pPr>
        <w:rPr>
          <w:b/>
          <w:szCs w:val="22"/>
        </w:rPr>
      </w:pPr>
      <w:r>
        <w:rPr>
          <w:b/>
          <w:szCs w:val="22"/>
        </w:rPr>
        <w:t>For service on a solicitor,</w:t>
      </w:r>
    </w:p>
    <w:p w:rsidR="009023E1" w:rsidRPr="009023E1" w:rsidRDefault="007637FF" w:rsidP="00497AAB">
      <w:pPr>
        <w:rPr>
          <w:szCs w:val="22"/>
        </w:rPr>
      </w:pPr>
      <w:r w:rsidRPr="007637FF">
        <w:rPr>
          <w:szCs w:val="22"/>
        </w:rPr>
        <w:t>The solicitor who accepts service must make a note on the Originating Process that they have accep</w:t>
      </w:r>
      <w:r>
        <w:rPr>
          <w:szCs w:val="22"/>
        </w:rPr>
        <w:t xml:space="preserve">ted service for that defendant </w:t>
      </w:r>
      <w:r w:rsidRPr="00581A92">
        <w:rPr>
          <w:szCs w:val="22"/>
        </w:rPr>
        <w:t>(</w:t>
      </w:r>
      <w:r w:rsidRPr="007637FF">
        <w:rPr>
          <w:i/>
          <w:szCs w:val="22"/>
        </w:rPr>
        <w:t>R6.09(2)</w:t>
      </w:r>
      <w:r w:rsidRPr="00581A92">
        <w:rPr>
          <w:szCs w:val="22"/>
        </w:rPr>
        <w:t>)</w:t>
      </w:r>
      <w:r w:rsidRPr="007637FF">
        <w:rPr>
          <w:i/>
          <w:szCs w:val="22"/>
        </w:rPr>
        <w:t>.</w:t>
      </w:r>
      <w:r>
        <w:rPr>
          <w:szCs w:val="22"/>
        </w:rPr>
        <w:t xml:space="preserve"> </w:t>
      </w:r>
      <w:r w:rsidRPr="007637FF">
        <w:rPr>
          <w:szCs w:val="22"/>
        </w:rPr>
        <w:t xml:space="preserve">The </w:t>
      </w:r>
      <w:r w:rsidR="00720782">
        <w:rPr>
          <w:szCs w:val="22"/>
        </w:rPr>
        <w:t>Affidavit</w:t>
      </w:r>
      <w:r w:rsidRPr="007637FF">
        <w:rPr>
          <w:szCs w:val="22"/>
        </w:rPr>
        <w:t xml:space="preserve"> must: </w:t>
      </w:r>
    </w:p>
    <w:p w:rsidR="007637FF" w:rsidRPr="007637FF" w:rsidRDefault="00A4261E" w:rsidP="004157A5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eastAsiaTheme="minorHAnsi" w:cs="Arial"/>
          <w:i/>
          <w:color w:val="auto"/>
          <w:kern w:val="0"/>
          <w:szCs w:val="22"/>
          <w:lang w:eastAsia="en-US"/>
          <w14:ligatures w14:val="none"/>
          <w14:cntxtAlts w14:val="0"/>
        </w:rPr>
      </w:pPr>
      <w:r w:rsidRPr="007637FF">
        <w:rPr>
          <w:color w:val="auto"/>
          <w:szCs w:val="22"/>
        </w:rPr>
        <w:t>State that the solicitor has accepted serv</w:t>
      </w:r>
      <w:r w:rsidR="007637FF" w:rsidRPr="007637FF">
        <w:rPr>
          <w:color w:val="auto"/>
          <w:szCs w:val="22"/>
        </w:rPr>
        <w:t>ice on behalf of the defendant (</w:t>
      </w:r>
      <w:r w:rsidR="007637FF" w:rsidRPr="007637FF">
        <w:rPr>
          <w:i/>
          <w:color w:val="auto"/>
          <w:szCs w:val="22"/>
        </w:rPr>
        <w:t>R6.09(2)</w:t>
      </w:r>
      <w:r w:rsidR="007637FF" w:rsidRPr="007637FF">
        <w:rPr>
          <w:color w:val="auto"/>
          <w:szCs w:val="22"/>
        </w:rPr>
        <w:t xml:space="preserve">). </w:t>
      </w:r>
    </w:p>
    <w:p w:rsidR="004157A5" w:rsidRPr="004157A5" w:rsidRDefault="005C2577" w:rsidP="004157A5">
      <w:pPr>
        <w:pStyle w:val="ListParagraph"/>
        <w:numPr>
          <w:ilvl w:val="0"/>
          <w:numId w:val="17"/>
        </w:numPr>
        <w:rPr>
          <w:szCs w:val="22"/>
        </w:rPr>
      </w:pPr>
      <w:r w:rsidRPr="007637FF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 xml:space="preserve">State </w:t>
      </w:r>
      <w:r w:rsidR="007637FF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>all other relevant facts</w:t>
      </w:r>
      <w:r w:rsidRPr="007637FF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 xml:space="preserve"> constituting service</w:t>
      </w:r>
      <w:r w:rsidRPr="00581A92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 xml:space="preserve"> (</w:t>
      </w:r>
      <w:r w:rsidR="00F668A0" w:rsidRPr="007637FF">
        <w:rPr>
          <w:rFonts w:eastAsiaTheme="minorHAnsi" w:cs="Arial"/>
          <w:i/>
          <w:color w:val="auto"/>
          <w:kern w:val="0"/>
          <w:szCs w:val="22"/>
          <w:lang w:eastAsia="en-US"/>
          <w14:ligatures w14:val="none"/>
          <w14:cntxtAlts w14:val="0"/>
        </w:rPr>
        <w:t>R</w:t>
      </w:r>
      <w:r w:rsidRPr="007637FF">
        <w:rPr>
          <w:rFonts w:eastAsiaTheme="minorHAnsi" w:cs="Arial"/>
          <w:i/>
          <w:color w:val="auto"/>
          <w:kern w:val="0"/>
          <w:szCs w:val="22"/>
          <w:lang w:eastAsia="en-US"/>
          <w14:ligatures w14:val="none"/>
          <w14:cntxtAlts w14:val="0"/>
        </w:rPr>
        <w:t>6.17(2)</w:t>
      </w:r>
      <w:r w:rsidRPr="00581A92">
        <w:rPr>
          <w:rFonts w:eastAsiaTheme="minorHAnsi" w:cs="Arial"/>
          <w:color w:val="auto"/>
          <w:kern w:val="0"/>
          <w:szCs w:val="22"/>
          <w:lang w:eastAsia="en-US"/>
          <w14:ligatures w14:val="none"/>
          <w14:cntxtAlts w14:val="0"/>
        </w:rPr>
        <w:t>)</w:t>
      </w:r>
    </w:p>
    <w:p w:rsidR="005C2577" w:rsidRPr="004157A5" w:rsidRDefault="00A4261E" w:rsidP="004157A5">
      <w:pPr>
        <w:pStyle w:val="ListParagraph"/>
        <w:numPr>
          <w:ilvl w:val="0"/>
          <w:numId w:val="17"/>
        </w:numPr>
        <w:rPr>
          <w:b/>
          <w:color w:val="auto"/>
          <w:szCs w:val="22"/>
        </w:rPr>
      </w:pPr>
      <w:r w:rsidRPr="004157A5">
        <w:rPr>
          <w:szCs w:val="22"/>
        </w:rPr>
        <w:t xml:space="preserve">Exhibit </w:t>
      </w:r>
      <w:r w:rsidR="007637FF" w:rsidRPr="004157A5">
        <w:rPr>
          <w:szCs w:val="22"/>
        </w:rPr>
        <w:t>the version of the</w:t>
      </w:r>
      <w:r w:rsidRPr="004157A5">
        <w:rPr>
          <w:szCs w:val="22"/>
        </w:rPr>
        <w:t xml:space="preserve"> sealed copy of the Originating Process</w:t>
      </w:r>
      <w:r w:rsidR="00584DA9" w:rsidRPr="004157A5">
        <w:rPr>
          <w:szCs w:val="22"/>
        </w:rPr>
        <w:t xml:space="preserve"> which carries the solicitor’s note</w:t>
      </w:r>
      <w:r w:rsidRPr="004157A5">
        <w:rPr>
          <w:szCs w:val="22"/>
        </w:rPr>
        <w:t xml:space="preserve"> (</w:t>
      </w:r>
      <w:r w:rsidRPr="004157A5">
        <w:rPr>
          <w:i/>
          <w:szCs w:val="22"/>
        </w:rPr>
        <w:t>R6.17(3)</w:t>
      </w:r>
      <w:r w:rsidR="00584DA9" w:rsidRPr="004157A5">
        <w:rPr>
          <w:i/>
          <w:szCs w:val="22"/>
        </w:rPr>
        <w:t xml:space="preserve"> </w:t>
      </w:r>
      <w:r w:rsidR="00584DA9" w:rsidRPr="004157A5">
        <w:rPr>
          <w:szCs w:val="22"/>
        </w:rPr>
        <w:t>and</w:t>
      </w:r>
      <w:r w:rsidR="00584DA9" w:rsidRPr="004157A5">
        <w:rPr>
          <w:i/>
          <w:szCs w:val="22"/>
        </w:rPr>
        <w:t xml:space="preserve"> </w:t>
      </w:r>
      <w:r w:rsidR="00584DA9" w:rsidRPr="004157A5">
        <w:rPr>
          <w:szCs w:val="22"/>
        </w:rPr>
        <w:t>(</w:t>
      </w:r>
      <w:r w:rsidR="00584DA9" w:rsidRPr="004157A5">
        <w:rPr>
          <w:i/>
          <w:szCs w:val="22"/>
        </w:rPr>
        <w:t>R6.17(4)</w:t>
      </w:r>
      <w:r w:rsidRPr="004157A5">
        <w:rPr>
          <w:i/>
          <w:szCs w:val="22"/>
        </w:rPr>
        <w:t>)</w:t>
      </w:r>
    </w:p>
    <w:p w:rsidR="004157A5" w:rsidRPr="00B72055" w:rsidRDefault="004157A5" w:rsidP="004157A5">
      <w:pPr>
        <w:pStyle w:val="ListParagraph"/>
        <w:rPr>
          <w:b/>
          <w:color w:val="auto"/>
          <w:szCs w:val="22"/>
        </w:rPr>
      </w:pPr>
    </w:p>
    <w:p w:rsidR="005C2577" w:rsidRPr="00B72055" w:rsidRDefault="005C2577" w:rsidP="005C2577">
      <w:pPr>
        <w:rPr>
          <w:b/>
          <w:color w:val="auto"/>
          <w:szCs w:val="22"/>
        </w:rPr>
      </w:pPr>
      <w:r w:rsidRPr="00B72055">
        <w:rPr>
          <w:b/>
          <w:color w:val="auto"/>
          <w:szCs w:val="22"/>
        </w:rPr>
        <w:t>Other important things to consider:</w:t>
      </w:r>
    </w:p>
    <w:p w:rsidR="004C1DFA" w:rsidRPr="00AD1290" w:rsidRDefault="004C1DFA" w:rsidP="004C1DFA">
      <w:pPr>
        <w:pStyle w:val="ListParagraph"/>
        <w:numPr>
          <w:ilvl w:val="0"/>
          <w:numId w:val="29"/>
        </w:numPr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</w:pPr>
      <w:r w:rsidRPr="00B72055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If the defendant was served interstate, a Form 1 Notice to Defendant must also be served </w:t>
      </w:r>
      <w:r w:rsidR="002745B5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with the Originating Process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(</w:t>
      </w:r>
      <w:r w:rsidRPr="00AD1290"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  <w:t xml:space="preserve">S16 Service And Execution of Process Act 1992 (Cth)).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The </w:t>
      </w:r>
      <w:r w:rsidR="0072078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Affidavit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 of Service must state this Notice was served, and a copy of such is to be exhibited</w:t>
      </w:r>
    </w:p>
    <w:p w:rsidR="004C1DFA" w:rsidRPr="00AD1290" w:rsidRDefault="002745B5" w:rsidP="004C1DF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</w:pP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When </w:t>
      </w:r>
      <w:r w:rsidR="004C1DFA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the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 parties agree that an O</w:t>
      </w:r>
      <w:r w:rsidR="004C1DFA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riginating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P</w:t>
      </w:r>
      <w:r w:rsidR="004C1DFA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rocess may be served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as per a written </w:t>
      </w:r>
      <w:r w:rsidR="004C1DFA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agreement, service in accordance with the agreement s</w:t>
      </w:r>
      <w:r w:rsidR="004C2D5F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hall be sufficient service </w:t>
      </w:r>
      <w:r w:rsidR="004C2D5F" w:rsidRPr="00581A9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(</w:t>
      </w:r>
      <w:r w:rsidR="004C2D5F" w:rsidRPr="00AD1290"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  <w:t>R6.14</w:t>
      </w:r>
      <w:r w:rsidR="004C2D5F" w:rsidRPr="00581A9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)</w:t>
      </w:r>
      <w:r w:rsidRPr="00AD1290"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  <w:t xml:space="preserve">.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This agreement must also be exhibited to the </w:t>
      </w:r>
      <w:r w:rsidR="0072078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Affidavit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. </w:t>
      </w:r>
    </w:p>
    <w:p w:rsidR="002745B5" w:rsidRPr="00AD1290" w:rsidRDefault="002745B5" w:rsidP="00F115A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</w:pP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If you have an order for substituted service, your </w:t>
      </w:r>
      <w:r w:rsidR="0072078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Affidavit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 must state all methods of service as per the order. You must also exhibit </w:t>
      </w:r>
      <w:r w:rsidR="005A7289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any documentary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proof</w:t>
      </w:r>
      <w:r w:rsidR="005A7289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, f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or example, the email, text message, or letter sent to the defendant </w:t>
      </w:r>
      <w:r w:rsidRPr="00581A9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(</w:t>
      </w:r>
      <w:r w:rsidRPr="00AD1290"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  <w:t>R6.10</w:t>
      </w:r>
      <w:r w:rsidRPr="00581A9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)</w:t>
      </w:r>
      <w:r w:rsidRPr="00AD1290"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  <w:t xml:space="preserve">. </w:t>
      </w:r>
    </w:p>
    <w:p w:rsidR="00DD7DD9" w:rsidRDefault="00DD7DD9" w:rsidP="00F115A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</w:pP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The form of the </w:t>
      </w:r>
      <w:r w:rsidR="00720782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Affidavit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 </w:t>
      </w:r>
      <w:r w:rsidR="005A7289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>must</w:t>
      </w:r>
      <w:r w:rsidR="005A7289"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 </w:t>
      </w:r>
      <w:r w:rsidRPr="00AD1290">
        <w:rPr>
          <w:rFonts w:ascii="Helv" w:eastAsiaTheme="minorHAnsi" w:hAnsi="Helv" w:cs="Helv"/>
          <w:kern w:val="0"/>
          <w:szCs w:val="22"/>
          <w:lang w:eastAsia="en-US"/>
          <w14:ligatures w14:val="none"/>
          <w14:cntxtAlts w14:val="0"/>
        </w:rPr>
        <w:t xml:space="preserve">comply with </w:t>
      </w:r>
      <w:r w:rsidRPr="00AD1290">
        <w:rPr>
          <w:rFonts w:ascii="Helv" w:eastAsiaTheme="minorHAnsi" w:hAnsi="Helv" w:cs="Helv"/>
          <w:i/>
          <w:kern w:val="0"/>
          <w:szCs w:val="22"/>
          <w:lang w:eastAsia="en-US"/>
          <w14:ligatures w14:val="none"/>
          <w14:cntxtAlts w14:val="0"/>
        </w:rPr>
        <w:t>R43.01.</w:t>
      </w:r>
    </w:p>
    <w:p w:rsidR="00B72055" w:rsidRDefault="00B72055" w:rsidP="00B72055"/>
    <w:p w:rsidR="00B72055" w:rsidRPr="00AC4618" w:rsidRDefault="00720782" w:rsidP="00B72055">
      <w:pPr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lastRenderedPageBreak/>
        <w:t>AFFIDAVIT</w:t>
      </w:r>
      <w:r w:rsidR="00C93CAD">
        <w:rPr>
          <w:b/>
          <w:color w:val="auto"/>
          <w:sz w:val="21"/>
          <w:szCs w:val="21"/>
        </w:rPr>
        <w:t xml:space="preserve"> OF SERVICE OF AN AMENDED STATEMENT OF CLAIM</w:t>
      </w:r>
      <w:r w:rsidR="00B72055" w:rsidRPr="00AC4618">
        <w:rPr>
          <w:b/>
          <w:color w:val="auto"/>
          <w:sz w:val="21"/>
          <w:szCs w:val="21"/>
        </w:rPr>
        <w:t xml:space="preserve"> </w:t>
      </w:r>
      <w:r w:rsidR="00B72055" w:rsidRPr="00AC4618">
        <w:rPr>
          <w:color w:val="auto"/>
          <w:sz w:val="21"/>
          <w:szCs w:val="21"/>
        </w:rPr>
        <w:t>(if relevant):</w:t>
      </w:r>
      <w:r w:rsidR="00B72055" w:rsidRPr="00AC4618">
        <w:rPr>
          <w:b/>
          <w:color w:val="auto"/>
          <w:sz w:val="21"/>
          <w:szCs w:val="21"/>
        </w:rPr>
        <w:t xml:space="preserve"> </w:t>
      </w:r>
    </w:p>
    <w:p w:rsidR="00B72055" w:rsidRPr="006C21C3" w:rsidRDefault="00B72055" w:rsidP="007637FF">
      <w:r w:rsidRPr="006C21C3">
        <w:t xml:space="preserve">If Default </w:t>
      </w:r>
      <w:r w:rsidR="00720782">
        <w:t>Judgment</w:t>
      </w:r>
      <w:r w:rsidRPr="006C21C3">
        <w:t xml:space="preserve"> is sought on an Amended Statement of Claim, an </w:t>
      </w:r>
      <w:r w:rsidR="00720782">
        <w:t>Affidavit</w:t>
      </w:r>
      <w:r w:rsidRPr="006C21C3">
        <w:t xml:space="preserve"> of Service </w:t>
      </w:r>
    </w:p>
    <w:p w:rsidR="00B72055" w:rsidRPr="00AC4618" w:rsidRDefault="00B72055" w:rsidP="00F534CF">
      <w:r w:rsidRPr="00AC4618">
        <w:t xml:space="preserve">of the Amended Statement of Claim must </w:t>
      </w:r>
      <w:r w:rsidR="00F534CF">
        <w:t>also be filed, exhibiting</w:t>
      </w:r>
      <w:r w:rsidR="001B6E8E">
        <w:t>,</w:t>
      </w:r>
      <w:r w:rsidR="00F534CF">
        <w:t xml:space="preserve"> t</w:t>
      </w:r>
      <w:r w:rsidR="00EF3474">
        <w:t>he Amended Statement of Claim.</w:t>
      </w:r>
    </w:p>
    <w:p w:rsidR="00CC03C3" w:rsidRDefault="00CC03C3" w:rsidP="000D07CE">
      <w:pPr>
        <w:rPr>
          <w:b/>
        </w:rPr>
      </w:pPr>
    </w:p>
    <w:p w:rsidR="00CC03C3" w:rsidRDefault="00CC03C3" w:rsidP="000D07CE">
      <w:pPr>
        <w:rPr>
          <w:b/>
        </w:rPr>
      </w:pPr>
      <w:r>
        <w:rPr>
          <w:b/>
        </w:rPr>
        <w:t xml:space="preserve">How do I file my </w:t>
      </w:r>
      <w:r w:rsidR="00720782">
        <w:rPr>
          <w:b/>
        </w:rPr>
        <w:t>Affidavit</w:t>
      </w:r>
      <w:r>
        <w:rPr>
          <w:b/>
        </w:rPr>
        <w:t xml:space="preserve"> of </w:t>
      </w:r>
      <w:r w:rsidR="008620C3">
        <w:rPr>
          <w:b/>
        </w:rPr>
        <w:t xml:space="preserve">Service </w:t>
      </w:r>
      <w:r>
        <w:rPr>
          <w:b/>
        </w:rPr>
        <w:t>on Citec Confirm?</w:t>
      </w:r>
    </w:p>
    <w:p w:rsidR="00155966" w:rsidRDefault="00FA2FFA" w:rsidP="000D07CE">
      <w:r>
        <w:t xml:space="preserve">The </w:t>
      </w:r>
      <w:r w:rsidR="00720782">
        <w:t>Affidavit</w:t>
      </w:r>
      <w:r>
        <w:t xml:space="preserve"> of Service, including exhibits, is to be filed together</w:t>
      </w:r>
      <w:r w:rsidR="00AF047C">
        <w:t xml:space="preserve"> as one scanned PDF document</w:t>
      </w:r>
      <w:r w:rsidR="00DD7DD9">
        <w:t xml:space="preserve"> with your </w:t>
      </w:r>
      <w:r w:rsidR="00720782">
        <w:t>Judgment</w:t>
      </w:r>
      <w:r>
        <w:t>,</w:t>
      </w:r>
      <w:r w:rsidR="00DD7DD9">
        <w:t xml:space="preserve"> and Search for Appearance using the</w:t>
      </w:r>
      <w:r w:rsidR="00B770A1">
        <w:t xml:space="preserve"> correct</w:t>
      </w:r>
      <w:r w:rsidR="00DD7DD9">
        <w:t xml:space="preserve"> </w:t>
      </w:r>
      <w:r w:rsidR="00720782">
        <w:t>Judgment</w:t>
      </w:r>
      <w:r w:rsidR="00DD7DD9">
        <w:t xml:space="preserve"> </w:t>
      </w:r>
      <w:r w:rsidR="00155966">
        <w:t>filling</w:t>
      </w:r>
      <w:r w:rsidR="00B770A1">
        <w:t xml:space="preserve"> code</w:t>
      </w:r>
      <w:r>
        <w:t xml:space="preserve">. </w:t>
      </w:r>
    </w:p>
    <w:p w:rsidR="00155966" w:rsidRDefault="00155966" w:rsidP="000D07CE"/>
    <w:p w:rsidR="00CC03C3" w:rsidRDefault="00FA2FFA" w:rsidP="000D07CE">
      <w:r>
        <w:t>If your</w:t>
      </w:r>
      <w:r w:rsidR="00155966">
        <w:t xml:space="preserve"> </w:t>
      </w:r>
      <w:r w:rsidR="00720782">
        <w:t>Judgment</w:t>
      </w:r>
      <w:r w:rsidR="00155966">
        <w:t xml:space="preserve"> is rejected, you will be required to re</w:t>
      </w:r>
      <w:r>
        <w:t>-</w:t>
      </w:r>
      <w:r w:rsidR="00155966">
        <w:t xml:space="preserve">file the </w:t>
      </w:r>
      <w:r w:rsidR="00720782">
        <w:t>Judgment</w:t>
      </w:r>
      <w:r w:rsidR="00155966">
        <w:t xml:space="preserve"> with the amendments </w:t>
      </w:r>
      <w:r w:rsidR="005E2739">
        <w:t>requested</w:t>
      </w:r>
      <w:r w:rsidR="00155966">
        <w:t xml:space="preserve">, along with your </w:t>
      </w:r>
      <w:r w:rsidR="00720782">
        <w:t>Affidavit</w:t>
      </w:r>
      <w:r w:rsidR="00155966">
        <w:t xml:space="preserve"> and Search for Appearance.</w:t>
      </w:r>
    </w:p>
    <w:p w:rsidR="00155966" w:rsidRDefault="00155966" w:rsidP="00155966"/>
    <w:p w:rsidR="00155966" w:rsidRDefault="00155966" w:rsidP="00155966">
      <w:r>
        <w:t xml:space="preserve">NB: </w:t>
      </w:r>
      <w:r w:rsidR="00720782">
        <w:t>Affidavit</w:t>
      </w:r>
      <w:r>
        <w:t xml:space="preserve">s of Attempted Service </w:t>
      </w:r>
      <w:r w:rsidR="00F534CF">
        <w:t xml:space="preserve">for Default Judgments </w:t>
      </w:r>
      <w:r>
        <w:t xml:space="preserve">are not required to be filed with Citec Confirm. </w:t>
      </w:r>
    </w:p>
    <w:p w:rsidR="00155966" w:rsidRPr="00155966" w:rsidRDefault="00155966" w:rsidP="000D07CE"/>
    <w:p w:rsidR="00CC03C3" w:rsidRPr="00CC03C3" w:rsidRDefault="00CC03C3" w:rsidP="000D07CE">
      <w:pPr>
        <w:rPr>
          <w:b/>
        </w:rPr>
      </w:pPr>
    </w:p>
    <w:p w:rsidR="000D07CE" w:rsidRPr="000D07CE" w:rsidRDefault="00257F54" w:rsidP="000D07CE">
      <w:r>
        <w:softHyphen/>
      </w:r>
      <w:r>
        <w:softHyphen/>
      </w:r>
      <w:bookmarkStart w:id="0" w:name="_GoBack"/>
      <w:bookmarkEnd w:id="0"/>
    </w:p>
    <w:sectPr w:rsidR="000D07CE" w:rsidRPr="000D07CE" w:rsidSect="00C6283A">
      <w:headerReference w:type="default" r:id="rId8"/>
      <w:footerReference w:type="default" r:id="rId9"/>
      <w:headerReference w:type="first" r:id="rId10"/>
      <w:pgSz w:w="11906" w:h="16838"/>
      <w:pgMar w:top="1701" w:right="1133" w:bottom="1276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A1" w:rsidRDefault="009F09A1" w:rsidP="00061816">
      <w:r>
        <w:separator/>
      </w:r>
    </w:p>
  </w:endnote>
  <w:endnote w:type="continuationSeparator" w:id="0">
    <w:p w:rsidR="009F09A1" w:rsidRDefault="009F09A1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A" w:rsidRPr="007C1165" w:rsidRDefault="00C6283A" w:rsidP="00C6283A">
    <w:pPr>
      <w:pStyle w:val="Footer"/>
      <w:jc w:val="right"/>
      <w:rPr>
        <w:color w:val="auto"/>
        <w:sz w:val="20"/>
      </w:rPr>
    </w:pPr>
    <w:r w:rsidRPr="007C1165">
      <w:rPr>
        <w:color w:val="auto"/>
        <w:sz w:val="20"/>
      </w:rPr>
      <w:t xml:space="preserve">Page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PAGE  \* Arabic  \* MERGEFORMAT </w:instrText>
    </w:r>
    <w:r w:rsidRPr="007C1165">
      <w:rPr>
        <w:color w:val="auto"/>
        <w:sz w:val="20"/>
      </w:rPr>
      <w:fldChar w:fldCharType="separate"/>
    </w:r>
    <w:r w:rsidR="007D3265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  <w:r w:rsidRPr="007C1165">
      <w:rPr>
        <w:color w:val="auto"/>
        <w:sz w:val="20"/>
      </w:rPr>
      <w:t xml:space="preserve"> of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NUMPAGES  \* Arabic  \* MERGEFORMAT </w:instrText>
    </w:r>
    <w:r w:rsidRPr="007C1165">
      <w:rPr>
        <w:color w:val="auto"/>
        <w:sz w:val="20"/>
      </w:rPr>
      <w:fldChar w:fldCharType="separate"/>
    </w:r>
    <w:r w:rsidR="007D3265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</w:p>
  <w:p w:rsidR="009F09A1" w:rsidRPr="007348D4" w:rsidRDefault="009F09A1" w:rsidP="007348D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A1" w:rsidRDefault="009F09A1" w:rsidP="00061816">
      <w:r>
        <w:separator/>
      </w:r>
    </w:p>
  </w:footnote>
  <w:footnote w:type="continuationSeparator" w:id="0">
    <w:p w:rsidR="009F09A1" w:rsidRDefault="009F09A1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A1" w:rsidRDefault="00C6283A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4E9B067" wp14:editId="342114FE">
              <wp:simplePos x="0" y="0"/>
              <wp:positionH relativeFrom="column">
                <wp:posOffset>873922</wp:posOffset>
              </wp:positionH>
              <wp:positionV relativeFrom="paragraph">
                <wp:posOffset>446405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B8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8.8pt;margin-top:35.15pt;width:533.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" strokecolor="#bfbfbf [2412]" strokeweight=".25pt">
              <v:shadow color="#eeece1"/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28371DC" wp14:editId="57B3B9BF">
          <wp:simplePos x="0" y="0"/>
          <wp:positionH relativeFrom="column">
            <wp:posOffset>-337702</wp:posOffset>
          </wp:positionH>
          <wp:positionV relativeFrom="paragraph">
            <wp:posOffset>187798</wp:posOffset>
          </wp:positionV>
          <wp:extent cx="1125220" cy="276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9A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A1" w:rsidRDefault="0056010C" w:rsidP="0069224C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A119EDA" wp14:editId="1107FF1E">
          <wp:simplePos x="0" y="0"/>
          <wp:positionH relativeFrom="margin">
            <wp:posOffset>-557530</wp:posOffset>
          </wp:positionH>
          <wp:positionV relativeFrom="paragraph">
            <wp:posOffset>-269240</wp:posOffset>
          </wp:positionV>
          <wp:extent cx="1841500" cy="1123978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112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E69" w:rsidRDefault="000276E5" w:rsidP="00F84E69">
    <w:pPr>
      <w:pStyle w:val="Header"/>
      <w:rPr>
        <w:b/>
        <w:color w:val="7030A0"/>
      </w:rPr>
    </w:pPr>
    <w:r>
      <w:rPr>
        <w:b/>
        <w:color w:val="7030A0"/>
      </w:rPr>
      <w:tab/>
      <w:t xml:space="preserve">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507"/>
    </w:tblGrid>
    <w:tr w:rsidR="00F84E69" w:rsidTr="000D07CE">
      <w:trPr>
        <w:trHeight w:val="426"/>
      </w:trPr>
      <w:tc>
        <w:tcPr>
          <w:tcW w:w="2122" w:type="dxa"/>
        </w:tcPr>
        <w:p w:rsidR="00F84E69" w:rsidRDefault="00F84E69" w:rsidP="00F84E69">
          <w:pPr>
            <w:pStyle w:val="Header"/>
            <w:rPr>
              <w:b/>
              <w:color w:val="7030A0"/>
            </w:rPr>
          </w:pPr>
        </w:p>
      </w:tc>
      <w:tc>
        <w:tcPr>
          <w:tcW w:w="7507" w:type="dxa"/>
        </w:tcPr>
        <w:p w:rsidR="007F116C" w:rsidRPr="00FA2FFA" w:rsidRDefault="00FA2FFA" w:rsidP="00F84E69">
          <w:pPr>
            <w:pStyle w:val="Header"/>
            <w:rPr>
              <w:b/>
              <w:color w:val="7030A0"/>
              <w:sz w:val="28"/>
              <w:szCs w:val="28"/>
            </w:rPr>
          </w:pPr>
          <w:r w:rsidRPr="00FA2FFA">
            <w:rPr>
              <w:b/>
              <w:color w:val="7030A0"/>
              <w:sz w:val="28"/>
              <w:szCs w:val="28"/>
            </w:rPr>
            <w:t>REGISTRY PRACTITIONER GUIDELINES:</w:t>
          </w:r>
        </w:p>
        <w:p w:rsidR="00FA2FFA" w:rsidRPr="00FA2FFA" w:rsidRDefault="00720782" w:rsidP="00F84E69">
          <w:pPr>
            <w:pStyle w:val="Header"/>
            <w:rPr>
              <w:b/>
              <w:color w:val="7030A0"/>
              <w:sz w:val="28"/>
              <w:szCs w:val="28"/>
            </w:rPr>
          </w:pPr>
          <w:r>
            <w:rPr>
              <w:b/>
              <w:color w:val="7030A0"/>
              <w:sz w:val="28"/>
              <w:szCs w:val="28"/>
            </w:rPr>
            <w:t>AFFIDAVIT</w:t>
          </w:r>
          <w:r w:rsidR="00FA2FFA" w:rsidRPr="00FA2FFA">
            <w:rPr>
              <w:b/>
              <w:color w:val="7030A0"/>
              <w:sz w:val="28"/>
              <w:szCs w:val="28"/>
            </w:rPr>
            <w:t xml:space="preserve">S OF SERVICE OF ORIGINATING PROCESS </w:t>
          </w:r>
        </w:p>
        <w:p w:rsidR="0056010C" w:rsidRPr="007C3169" w:rsidRDefault="0056010C" w:rsidP="00FA2FFA">
          <w:pPr>
            <w:pStyle w:val="Header"/>
            <w:rPr>
              <w:b/>
              <w:i/>
              <w:color w:val="7030A0"/>
              <w:sz w:val="24"/>
              <w:szCs w:val="24"/>
            </w:rPr>
          </w:pPr>
        </w:p>
      </w:tc>
    </w:tr>
  </w:tbl>
  <w:p w:rsidR="00186290" w:rsidRDefault="00186290" w:rsidP="0056010C">
    <w:pPr>
      <w:pStyle w:val="Header"/>
      <w:rPr>
        <w:b/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045"/>
    <w:multiLevelType w:val="hybridMultilevel"/>
    <w:tmpl w:val="9DCAB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5BE"/>
    <w:multiLevelType w:val="hybridMultilevel"/>
    <w:tmpl w:val="0E869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A7A"/>
    <w:multiLevelType w:val="hybridMultilevel"/>
    <w:tmpl w:val="7DEC4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12EEC"/>
    <w:multiLevelType w:val="hybridMultilevel"/>
    <w:tmpl w:val="B83420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FD027A"/>
    <w:multiLevelType w:val="hybridMultilevel"/>
    <w:tmpl w:val="B95A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A21E0"/>
    <w:multiLevelType w:val="hybridMultilevel"/>
    <w:tmpl w:val="B1E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644B"/>
    <w:multiLevelType w:val="hybridMultilevel"/>
    <w:tmpl w:val="C3088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F2EFA"/>
    <w:multiLevelType w:val="hybridMultilevel"/>
    <w:tmpl w:val="79508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F72E1"/>
    <w:multiLevelType w:val="hybridMultilevel"/>
    <w:tmpl w:val="4D74E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53AFB"/>
    <w:multiLevelType w:val="hybridMultilevel"/>
    <w:tmpl w:val="C1CAF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E3124"/>
    <w:multiLevelType w:val="hybridMultilevel"/>
    <w:tmpl w:val="D69C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2177AB4"/>
    <w:multiLevelType w:val="hybridMultilevel"/>
    <w:tmpl w:val="4F4ED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801880"/>
    <w:multiLevelType w:val="hybridMultilevel"/>
    <w:tmpl w:val="47CE0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B17A2"/>
    <w:multiLevelType w:val="hybridMultilevel"/>
    <w:tmpl w:val="F0D85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D5F3B"/>
    <w:multiLevelType w:val="hybridMultilevel"/>
    <w:tmpl w:val="627EE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B7C55"/>
    <w:multiLevelType w:val="hybridMultilevel"/>
    <w:tmpl w:val="468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A6288"/>
    <w:multiLevelType w:val="hybridMultilevel"/>
    <w:tmpl w:val="E83CF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A725E0"/>
    <w:multiLevelType w:val="hybridMultilevel"/>
    <w:tmpl w:val="898E8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355E9"/>
    <w:multiLevelType w:val="hybridMultilevel"/>
    <w:tmpl w:val="ABAEE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80EAC"/>
    <w:multiLevelType w:val="hybridMultilevel"/>
    <w:tmpl w:val="1E20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C4990"/>
    <w:multiLevelType w:val="hybridMultilevel"/>
    <w:tmpl w:val="B5287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8F137A"/>
    <w:multiLevelType w:val="hybridMultilevel"/>
    <w:tmpl w:val="33A4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83845"/>
    <w:multiLevelType w:val="hybridMultilevel"/>
    <w:tmpl w:val="167AA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F1AA3"/>
    <w:multiLevelType w:val="hybridMultilevel"/>
    <w:tmpl w:val="3764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940D2"/>
    <w:multiLevelType w:val="hybridMultilevel"/>
    <w:tmpl w:val="50CE8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2977"/>
    <w:multiLevelType w:val="hybridMultilevel"/>
    <w:tmpl w:val="7D8014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7C11B5"/>
    <w:multiLevelType w:val="hybridMultilevel"/>
    <w:tmpl w:val="EE142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1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8"/>
  </w:num>
  <w:num w:numId="13">
    <w:abstractNumId w:val="10"/>
  </w:num>
  <w:num w:numId="14">
    <w:abstractNumId w:val="18"/>
  </w:num>
  <w:num w:numId="15">
    <w:abstractNumId w:val="27"/>
  </w:num>
  <w:num w:numId="16">
    <w:abstractNumId w:val="8"/>
  </w:num>
  <w:num w:numId="17">
    <w:abstractNumId w:val="19"/>
  </w:num>
  <w:num w:numId="18">
    <w:abstractNumId w:val="4"/>
  </w:num>
  <w:num w:numId="19">
    <w:abstractNumId w:val="9"/>
  </w:num>
  <w:num w:numId="20">
    <w:abstractNumId w:val="2"/>
  </w:num>
  <w:num w:numId="21">
    <w:abstractNumId w:val="24"/>
  </w:num>
  <w:num w:numId="22">
    <w:abstractNumId w:val="5"/>
  </w:num>
  <w:num w:numId="23">
    <w:abstractNumId w:val="23"/>
  </w:num>
  <w:num w:numId="24">
    <w:abstractNumId w:val="33"/>
  </w:num>
  <w:num w:numId="25">
    <w:abstractNumId w:val="6"/>
  </w:num>
  <w:num w:numId="26">
    <w:abstractNumId w:val="7"/>
  </w:num>
  <w:num w:numId="27">
    <w:abstractNumId w:val="15"/>
  </w:num>
  <w:num w:numId="28">
    <w:abstractNumId w:val="0"/>
  </w:num>
  <w:num w:numId="29">
    <w:abstractNumId w:val="29"/>
  </w:num>
  <w:num w:numId="30">
    <w:abstractNumId w:val="3"/>
  </w:num>
  <w:num w:numId="31">
    <w:abstractNumId w:val="12"/>
  </w:num>
  <w:num w:numId="32">
    <w:abstractNumId w:val="31"/>
  </w:num>
  <w:num w:numId="33">
    <w:abstractNumId w:val="3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15347"/>
    <w:rsid w:val="000276E5"/>
    <w:rsid w:val="00051E12"/>
    <w:rsid w:val="0005203B"/>
    <w:rsid w:val="000534BD"/>
    <w:rsid w:val="00061816"/>
    <w:rsid w:val="00072C7F"/>
    <w:rsid w:val="000B141E"/>
    <w:rsid w:val="000D07CE"/>
    <w:rsid w:val="000F6B56"/>
    <w:rsid w:val="00101F86"/>
    <w:rsid w:val="00106679"/>
    <w:rsid w:val="00106B6C"/>
    <w:rsid w:val="001104C8"/>
    <w:rsid w:val="00112180"/>
    <w:rsid w:val="001121E4"/>
    <w:rsid w:val="001211BF"/>
    <w:rsid w:val="00130BFD"/>
    <w:rsid w:val="00141947"/>
    <w:rsid w:val="00155966"/>
    <w:rsid w:val="00186290"/>
    <w:rsid w:val="001A52F1"/>
    <w:rsid w:val="001B6E8E"/>
    <w:rsid w:val="001E71F2"/>
    <w:rsid w:val="00236163"/>
    <w:rsid w:val="0024746E"/>
    <w:rsid w:val="002477C2"/>
    <w:rsid w:val="00257F54"/>
    <w:rsid w:val="00265613"/>
    <w:rsid w:val="00266A9E"/>
    <w:rsid w:val="002745B5"/>
    <w:rsid w:val="00290C88"/>
    <w:rsid w:val="002911E0"/>
    <w:rsid w:val="00291616"/>
    <w:rsid w:val="002918EE"/>
    <w:rsid w:val="002B6015"/>
    <w:rsid w:val="002C5F0B"/>
    <w:rsid w:val="002F1784"/>
    <w:rsid w:val="002F5037"/>
    <w:rsid w:val="0030696F"/>
    <w:rsid w:val="00311AB7"/>
    <w:rsid w:val="003240FD"/>
    <w:rsid w:val="00324A8D"/>
    <w:rsid w:val="003423C2"/>
    <w:rsid w:val="003A6A93"/>
    <w:rsid w:val="003C68CD"/>
    <w:rsid w:val="003D24ED"/>
    <w:rsid w:val="003D7122"/>
    <w:rsid w:val="003F0112"/>
    <w:rsid w:val="00406CD8"/>
    <w:rsid w:val="004157A5"/>
    <w:rsid w:val="00420067"/>
    <w:rsid w:val="00492C3D"/>
    <w:rsid w:val="00497AAB"/>
    <w:rsid w:val="004A7F6F"/>
    <w:rsid w:val="004C1DFA"/>
    <w:rsid w:val="004C2D5F"/>
    <w:rsid w:val="004C4870"/>
    <w:rsid w:val="004C4C26"/>
    <w:rsid w:val="004D1C17"/>
    <w:rsid w:val="004F480C"/>
    <w:rsid w:val="00531880"/>
    <w:rsid w:val="00532595"/>
    <w:rsid w:val="005551D3"/>
    <w:rsid w:val="0056010C"/>
    <w:rsid w:val="005714EF"/>
    <w:rsid w:val="00581A92"/>
    <w:rsid w:val="00584DA9"/>
    <w:rsid w:val="0059625C"/>
    <w:rsid w:val="005A2DBC"/>
    <w:rsid w:val="005A555C"/>
    <w:rsid w:val="005A7289"/>
    <w:rsid w:val="005B7AB0"/>
    <w:rsid w:val="005C2577"/>
    <w:rsid w:val="005E2739"/>
    <w:rsid w:val="005F0579"/>
    <w:rsid w:val="00605536"/>
    <w:rsid w:val="006149B7"/>
    <w:rsid w:val="00627A51"/>
    <w:rsid w:val="00647D4E"/>
    <w:rsid w:val="0069224C"/>
    <w:rsid w:val="006B37F7"/>
    <w:rsid w:val="006C21C3"/>
    <w:rsid w:val="006D66A7"/>
    <w:rsid w:val="00706F79"/>
    <w:rsid w:val="00720782"/>
    <w:rsid w:val="00720A54"/>
    <w:rsid w:val="00721872"/>
    <w:rsid w:val="00724F28"/>
    <w:rsid w:val="007348D4"/>
    <w:rsid w:val="007507CE"/>
    <w:rsid w:val="00754D5B"/>
    <w:rsid w:val="0075739C"/>
    <w:rsid w:val="007637FF"/>
    <w:rsid w:val="007778DA"/>
    <w:rsid w:val="0079152D"/>
    <w:rsid w:val="007A3C84"/>
    <w:rsid w:val="007C05C8"/>
    <w:rsid w:val="007C1165"/>
    <w:rsid w:val="007C3169"/>
    <w:rsid w:val="007C7175"/>
    <w:rsid w:val="007D3265"/>
    <w:rsid w:val="007F116C"/>
    <w:rsid w:val="007F2EEA"/>
    <w:rsid w:val="00820064"/>
    <w:rsid w:val="008217C0"/>
    <w:rsid w:val="00836E08"/>
    <w:rsid w:val="008620C3"/>
    <w:rsid w:val="00874E72"/>
    <w:rsid w:val="00877377"/>
    <w:rsid w:val="008A5941"/>
    <w:rsid w:val="008B1611"/>
    <w:rsid w:val="008B639A"/>
    <w:rsid w:val="008C5BEF"/>
    <w:rsid w:val="008D00E8"/>
    <w:rsid w:val="008D2233"/>
    <w:rsid w:val="009023E1"/>
    <w:rsid w:val="0092711E"/>
    <w:rsid w:val="00932951"/>
    <w:rsid w:val="00945E18"/>
    <w:rsid w:val="00952BF8"/>
    <w:rsid w:val="00996C41"/>
    <w:rsid w:val="009C2377"/>
    <w:rsid w:val="009C28E8"/>
    <w:rsid w:val="009C30DD"/>
    <w:rsid w:val="009F09A1"/>
    <w:rsid w:val="00A17C28"/>
    <w:rsid w:val="00A4261E"/>
    <w:rsid w:val="00A6014B"/>
    <w:rsid w:val="00A61AAC"/>
    <w:rsid w:val="00A66857"/>
    <w:rsid w:val="00A772FD"/>
    <w:rsid w:val="00A945A8"/>
    <w:rsid w:val="00AD1290"/>
    <w:rsid w:val="00AD5B73"/>
    <w:rsid w:val="00AD78D9"/>
    <w:rsid w:val="00AF047C"/>
    <w:rsid w:val="00B360AC"/>
    <w:rsid w:val="00B56798"/>
    <w:rsid w:val="00B63800"/>
    <w:rsid w:val="00B72055"/>
    <w:rsid w:val="00B770A1"/>
    <w:rsid w:val="00B77E4B"/>
    <w:rsid w:val="00C02DBA"/>
    <w:rsid w:val="00C06887"/>
    <w:rsid w:val="00C43417"/>
    <w:rsid w:val="00C6283A"/>
    <w:rsid w:val="00C75764"/>
    <w:rsid w:val="00C93CAD"/>
    <w:rsid w:val="00CA1DA3"/>
    <w:rsid w:val="00CA2DB7"/>
    <w:rsid w:val="00CA6390"/>
    <w:rsid w:val="00CC03C3"/>
    <w:rsid w:val="00CC1A17"/>
    <w:rsid w:val="00CD7C7A"/>
    <w:rsid w:val="00CF0DC0"/>
    <w:rsid w:val="00D073C7"/>
    <w:rsid w:val="00D21092"/>
    <w:rsid w:val="00D372C6"/>
    <w:rsid w:val="00D40842"/>
    <w:rsid w:val="00D52345"/>
    <w:rsid w:val="00D67881"/>
    <w:rsid w:val="00D826C2"/>
    <w:rsid w:val="00D975EF"/>
    <w:rsid w:val="00DA344B"/>
    <w:rsid w:val="00DD7DD9"/>
    <w:rsid w:val="00DF4794"/>
    <w:rsid w:val="00E0132A"/>
    <w:rsid w:val="00E027A2"/>
    <w:rsid w:val="00E2220A"/>
    <w:rsid w:val="00E34F9F"/>
    <w:rsid w:val="00E4602B"/>
    <w:rsid w:val="00E61BC9"/>
    <w:rsid w:val="00E7013C"/>
    <w:rsid w:val="00E7204D"/>
    <w:rsid w:val="00E87E02"/>
    <w:rsid w:val="00EB52F3"/>
    <w:rsid w:val="00EC1B7D"/>
    <w:rsid w:val="00EC4195"/>
    <w:rsid w:val="00EF3474"/>
    <w:rsid w:val="00F13097"/>
    <w:rsid w:val="00F4435D"/>
    <w:rsid w:val="00F46871"/>
    <w:rsid w:val="00F534CF"/>
    <w:rsid w:val="00F63E07"/>
    <w:rsid w:val="00F668A0"/>
    <w:rsid w:val="00F67E6E"/>
    <w:rsid w:val="00F71EE8"/>
    <w:rsid w:val="00F72F1E"/>
    <w:rsid w:val="00F84E69"/>
    <w:rsid w:val="00FA2FFA"/>
    <w:rsid w:val="00FA5FDE"/>
    <w:rsid w:val="00FD6C2C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8A809515-CD44-4A49-81CE-5F16F02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266A9E"/>
    <w:pPr>
      <w:shd w:val="pct20" w:color="auto" w:fill="auto"/>
      <w:spacing w:before="360"/>
    </w:pPr>
    <w:rPr>
      <w:sz w:val="24"/>
    </w:rPr>
  </w:style>
  <w:style w:type="character" w:customStyle="1" w:styleId="HeadingChar">
    <w:name w:val="Heading Char"/>
    <w:basedOn w:val="Heading2Char"/>
    <w:link w:val="Heading"/>
    <w:rsid w:val="00266A9E"/>
    <w:rPr>
      <w:rFonts w:ascii="Arial" w:eastAsiaTheme="majorEastAsia" w:hAnsi="Arial" w:cstheme="majorBidi"/>
      <w:b/>
      <w:bCs/>
      <w:kern w:val="28"/>
      <w:sz w:val="24"/>
      <w:szCs w:val="26"/>
      <w:shd w:val="pct20" w:color="auto" w:fill="auto"/>
      <w:lang w:eastAsia="en-AU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A17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74A6-82D6-45B9-B6F6-A2FC39A4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Lau;Dianne Johnston</dc:creator>
  <cp:keywords/>
  <dc:description/>
  <cp:lastModifiedBy>Dianne Johnston</cp:lastModifiedBy>
  <cp:revision>5</cp:revision>
  <cp:lastPrinted>2018-03-19T03:14:00Z</cp:lastPrinted>
  <dcterms:created xsi:type="dcterms:W3CDTF">2018-04-27T05:42:00Z</dcterms:created>
  <dcterms:modified xsi:type="dcterms:W3CDTF">2018-06-14T01:05:00Z</dcterms:modified>
</cp:coreProperties>
</file>