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E1" w:rsidRPr="007D22BF" w:rsidRDefault="00BC2BE1" w:rsidP="00BC2BE1">
      <w:pPr>
        <w:pBdr>
          <w:top w:val="single" w:sz="4" w:space="1" w:color="auto"/>
          <w:left w:val="single" w:sz="4" w:space="4" w:color="auto"/>
          <w:bottom w:val="single" w:sz="4" w:space="1" w:color="auto"/>
          <w:right w:val="single" w:sz="4" w:space="4" w:color="auto"/>
        </w:pBdr>
        <w:tabs>
          <w:tab w:val="left" w:pos="1440"/>
        </w:tabs>
        <w:spacing w:line="240" w:lineRule="atLeast"/>
        <w:ind w:right="-495"/>
        <w:jc w:val="center"/>
        <w:rPr>
          <w:rFonts w:ascii="Arial" w:eastAsia="Calibri" w:hAnsi="Arial" w:cs="Arial"/>
          <w:b/>
        </w:rPr>
      </w:pPr>
      <w:r w:rsidRPr="007D22BF">
        <w:rPr>
          <w:rFonts w:ascii="Arial" w:eastAsia="Calibri" w:hAnsi="Arial" w:cs="Arial"/>
          <w:b/>
        </w:rPr>
        <w:t>ANONYMISED AND ADAPTED FOR EDUCATIONAL PURPOSES</w:t>
      </w:r>
    </w:p>
    <w:p w:rsidR="00BC2BE1" w:rsidRDefault="00BC2BE1" w:rsidP="00820842">
      <w:pPr>
        <w:rPr>
          <w:b/>
          <w:lang w:val="en-US"/>
        </w:rPr>
      </w:pPr>
      <w:bookmarkStart w:id="0" w:name="_GoBack"/>
      <w:bookmarkEnd w:id="0"/>
    </w:p>
    <w:p w:rsidR="00820842" w:rsidRPr="00457203" w:rsidRDefault="00820842" w:rsidP="00820842">
      <w:pPr>
        <w:rPr>
          <w:b/>
          <w:lang w:val="en-US"/>
        </w:rPr>
      </w:pPr>
      <w:r>
        <w:rPr>
          <w:b/>
          <w:lang w:val="en-US"/>
        </w:rPr>
        <w:t>IN THE COUNTY</w:t>
      </w:r>
      <w:r w:rsidRPr="00457203">
        <w:rPr>
          <w:b/>
          <w:lang w:val="en-US"/>
        </w:rPr>
        <w:t xml:space="preserve"> COURT OF VICTORIA</w:t>
      </w:r>
    </w:p>
    <w:p w:rsidR="00820842" w:rsidRPr="00457203" w:rsidRDefault="00820842" w:rsidP="00820842">
      <w:pPr>
        <w:rPr>
          <w:b/>
          <w:lang w:val="en-US"/>
        </w:rPr>
      </w:pPr>
      <w:r>
        <w:rPr>
          <w:b/>
          <w:lang w:val="en-US"/>
        </w:rPr>
        <w:t>AT MELBOURNE</w:t>
      </w:r>
    </w:p>
    <w:p w:rsidR="00820842" w:rsidRDefault="00820842" w:rsidP="00820842">
      <w:pPr>
        <w:rPr>
          <w:b/>
          <w:lang w:val="en-US"/>
        </w:rPr>
      </w:pPr>
    </w:p>
    <w:p w:rsidR="00820842" w:rsidRPr="00457203" w:rsidRDefault="00820842" w:rsidP="00820842">
      <w:pPr>
        <w:rPr>
          <w:b/>
          <w:lang w:val="en-US"/>
        </w:rPr>
      </w:pPr>
    </w:p>
    <w:p w:rsidR="00820842" w:rsidRPr="00457203" w:rsidRDefault="00820842" w:rsidP="00820842">
      <w:pPr>
        <w:rPr>
          <w:b/>
          <w:lang w:val="en-US"/>
        </w:rPr>
      </w:pPr>
      <w:r w:rsidRPr="00457203">
        <w:rPr>
          <w:b/>
          <w:lang w:val="en-US"/>
        </w:rPr>
        <w:t>BETWEEN:</w:t>
      </w:r>
    </w:p>
    <w:p w:rsidR="00820842" w:rsidRDefault="00820842" w:rsidP="00820842">
      <w:pPr>
        <w:rPr>
          <w:b/>
          <w:lang w:val="en-US"/>
        </w:rPr>
      </w:pPr>
    </w:p>
    <w:p w:rsidR="00820842" w:rsidRPr="00457203" w:rsidRDefault="00820842" w:rsidP="00820842">
      <w:pPr>
        <w:rPr>
          <w:b/>
          <w:lang w:val="en-US"/>
        </w:rPr>
      </w:pPr>
    </w:p>
    <w:p w:rsidR="00820842" w:rsidRPr="00457203" w:rsidRDefault="00820842" w:rsidP="00820842">
      <w:pPr>
        <w:rPr>
          <w:b/>
          <w:lang w:val="en-US"/>
        </w:rPr>
      </w:pPr>
    </w:p>
    <w:p w:rsidR="00820842" w:rsidRPr="00457203" w:rsidRDefault="00820842" w:rsidP="00820842">
      <w:pPr>
        <w:tabs>
          <w:tab w:val="center" w:pos="4320"/>
          <w:tab w:val="right" w:pos="9070"/>
        </w:tabs>
        <w:rPr>
          <w:b/>
          <w:lang w:val="en-US"/>
        </w:rPr>
      </w:pPr>
      <w:r w:rsidRPr="00457203">
        <w:rPr>
          <w:b/>
          <w:lang w:val="en-US"/>
        </w:rPr>
        <w:tab/>
      </w:r>
      <w:proofErr w:type="gramStart"/>
      <w:r>
        <w:rPr>
          <w:b/>
          <w:u w:val="single"/>
          <w:lang w:val="en-US"/>
        </w:rPr>
        <w:t>THE  QUEEN</w:t>
      </w:r>
      <w:proofErr w:type="gramEnd"/>
      <w:r>
        <w:rPr>
          <w:b/>
          <w:lang w:val="en-US"/>
        </w:rPr>
        <w:tab/>
      </w:r>
    </w:p>
    <w:p w:rsidR="00820842" w:rsidRPr="00457203" w:rsidRDefault="00820842" w:rsidP="00820842">
      <w:pPr>
        <w:jc w:val="center"/>
        <w:rPr>
          <w:b/>
          <w:lang w:val="en-US"/>
        </w:rPr>
      </w:pPr>
    </w:p>
    <w:p w:rsidR="00820842" w:rsidRPr="00457203" w:rsidRDefault="00820842" w:rsidP="00820842">
      <w:pPr>
        <w:tabs>
          <w:tab w:val="center" w:pos="4320"/>
        </w:tabs>
        <w:rPr>
          <w:b/>
          <w:lang w:val="en-US"/>
        </w:rPr>
      </w:pPr>
      <w:r w:rsidRPr="00457203">
        <w:rPr>
          <w:b/>
          <w:lang w:val="en-US"/>
        </w:rPr>
        <w:tab/>
        <w:t>-</w:t>
      </w:r>
      <w:proofErr w:type="gramStart"/>
      <w:r w:rsidRPr="00457203">
        <w:rPr>
          <w:b/>
          <w:u w:val="single"/>
          <w:lang w:val="en-US"/>
        </w:rPr>
        <w:t>and</w:t>
      </w:r>
      <w:proofErr w:type="gramEnd"/>
      <w:r w:rsidRPr="00457203">
        <w:rPr>
          <w:b/>
          <w:lang w:val="en-US"/>
        </w:rPr>
        <w:t>-</w:t>
      </w:r>
    </w:p>
    <w:p w:rsidR="00820842" w:rsidRPr="00457203" w:rsidRDefault="00820842" w:rsidP="00820842">
      <w:pPr>
        <w:jc w:val="center"/>
        <w:rPr>
          <w:b/>
          <w:lang w:val="en-US"/>
        </w:rPr>
      </w:pPr>
    </w:p>
    <w:p w:rsidR="00820842" w:rsidRPr="00457203" w:rsidRDefault="00820842" w:rsidP="00820842">
      <w:pPr>
        <w:tabs>
          <w:tab w:val="center" w:pos="4320"/>
          <w:tab w:val="right" w:pos="9070"/>
        </w:tabs>
        <w:jc w:val="center"/>
        <w:rPr>
          <w:b/>
          <w:lang w:val="en-US"/>
        </w:rPr>
      </w:pPr>
      <w:r w:rsidRPr="00457203">
        <w:rPr>
          <w:b/>
          <w:lang w:val="en-US"/>
        </w:rPr>
        <w:tab/>
      </w:r>
      <w:proofErr w:type="gramStart"/>
      <w:r>
        <w:rPr>
          <w:b/>
          <w:u w:val="single"/>
          <w:lang w:val="en-US"/>
        </w:rPr>
        <w:t xml:space="preserve">LUCAS  </w:t>
      </w:r>
      <w:proofErr w:type="spellStart"/>
      <w:r>
        <w:rPr>
          <w:b/>
          <w:u w:val="single"/>
          <w:lang w:val="en-US"/>
        </w:rPr>
        <w:t>HORDERN</w:t>
      </w:r>
      <w:proofErr w:type="spellEnd"/>
      <w:proofErr w:type="gramEnd"/>
      <w:r>
        <w:rPr>
          <w:b/>
          <w:lang w:val="en-US"/>
        </w:rPr>
        <w:tab/>
      </w:r>
    </w:p>
    <w:p w:rsidR="00820842" w:rsidRPr="00457203" w:rsidRDefault="00820842" w:rsidP="00820842">
      <w:pPr>
        <w:jc w:val="right"/>
        <w:rPr>
          <w:b/>
          <w:lang w:val="en-US"/>
        </w:rPr>
      </w:pPr>
    </w:p>
    <w:p w:rsidR="00820842" w:rsidRDefault="00820842" w:rsidP="00820842">
      <w:pPr>
        <w:rPr>
          <w:b/>
          <w:u w:val="single"/>
          <w:lang w:val="en-US"/>
        </w:rPr>
      </w:pPr>
    </w:p>
    <w:p w:rsidR="00820842" w:rsidRPr="00457203" w:rsidRDefault="00820842" w:rsidP="00820842">
      <w:pPr>
        <w:rPr>
          <w:b/>
          <w:u w:val="single"/>
          <w:lang w:val="en-US"/>
        </w:rPr>
      </w:pPr>
    </w:p>
    <w:p w:rsidR="00820842" w:rsidRPr="00457203" w:rsidRDefault="00820842" w:rsidP="00820842">
      <w:pPr>
        <w:ind w:left="1440" w:firstLine="720"/>
        <w:rPr>
          <w:b/>
          <w:u w:val="single"/>
          <w:lang w:val="en-US"/>
        </w:rPr>
      </w:pPr>
      <w:r>
        <w:rPr>
          <w:b/>
          <w:lang w:val="en-US"/>
        </w:rPr>
        <w:t xml:space="preserve">         </w:t>
      </w:r>
      <w:r>
        <w:rPr>
          <w:b/>
          <w:u w:val="single"/>
          <w:lang w:val="en-US"/>
        </w:rPr>
        <w:t>SUBMISSIONS ON SENTENCE</w:t>
      </w:r>
    </w:p>
    <w:p w:rsidR="00820842" w:rsidRDefault="00820842" w:rsidP="00820842">
      <w:pPr>
        <w:spacing w:line="360" w:lineRule="auto"/>
        <w:rPr>
          <w:lang w:val="en-US"/>
        </w:rPr>
      </w:pPr>
    </w:p>
    <w:p w:rsidR="00820842" w:rsidRPr="00FB7C95" w:rsidRDefault="00820842" w:rsidP="00820842">
      <w:pPr>
        <w:ind w:left="720" w:hanging="720"/>
        <w:rPr>
          <w:b/>
          <w:smallCaps/>
          <w:lang w:val="en-US"/>
        </w:rPr>
      </w:pPr>
      <w:r>
        <w:rPr>
          <w:lang w:val="en-US"/>
        </w:rPr>
        <w:t>1.</w:t>
      </w:r>
      <w:r>
        <w:rPr>
          <w:lang w:val="en-US"/>
        </w:rPr>
        <w:tab/>
      </w:r>
      <w:r>
        <w:rPr>
          <w:b/>
          <w:smallCaps/>
          <w:lang w:val="en-US"/>
        </w:rPr>
        <w:t>Offending, context and disposition</w:t>
      </w:r>
    </w:p>
    <w:p w:rsidR="00820842" w:rsidRDefault="00820842" w:rsidP="00820842">
      <w:pPr>
        <w:ind w:left="720" w:hanging="720"/>
        <w:rPr>
          <w:lang w:val="en-US"/>
        </w:rPr>
      </w:pPr>
    </w:p>
    <w:p w:rsidR="00820842" w:rsidRDefault="00820842" w:rsidP="00820842">
      <w:pPr>
        <w:pStyle w:val="ListParagraph"/>
        <w:numPr>
          <w:ilvl w:val="1"/>
          <w:numId w:val="2"/>
        </w:numPr>
        <w:spacing w:line="360" w:lineRule="auto"/>
        <w:rPr>
          <w:lang w:val="en-US"/>
        </w:rPr>
      </w:pPr>
      <w:r>
        <w:rPr>
          <w:lang w:val="en-US"/>
        </w:rPr>
        <w:t xml:space="preserve">Lucas </w:t>
      </w:r>
      <w:proofErr w:type="spellStart"/>
      <w:r>
        <w:rPr>
          <w:lang w:val="en-US"/>
        </w:rPr>
        <w:t>Hordern</w:t>
      </w:r>
      <w:proofErr w:type="spellEnd"/>
      <w:r w:rsidRPr="002B1962">
        <w:rPr>
          <w:lang w:val="en-US"/>
        </w:rPr>
        <w:t xml:space="preserve"> </w:t>
      </w:r>
      <w:r>
        <w:rPr>
          <w:lang w:val="en-US"/>
        </w:rPr>
        <w:t xml:space="preserve">is a man in his 50’s who </w:t>
      </w:r>
      <w:r w:rsidRPr="002B1962">
        <w:rPr>
          <w:lang w:val="en-US"/>
        </w:rPr>
        <w:t>has collected</w:t>
      </w:r>
      <w:r>
        <w:rPr>
          <w:lang w:val="en-US"/>
        </w:rPr>
        <w:t xml:space="preserve"> and restored current and antique firearms his entire adult life.  He was </w:t>
      </w:r>
      <w:r w:rsidRPr="002B1962">
        <w:rPr>
          <w:u w:val="single"/>
          <w:lang w:val="en-US"/>
        </w:rPr>
        <w:t>not</w:t>
      </w:r>
      <w:r>
        <w:rPr>
          <w:lang w:val="en-US"/>
        </w:rPr>
        <w:t xml:space="preserve"> at the relevant time a prohibited person.</w:t>
      </w:r>
      <w:r>
        <w:rPr>
          <w:rStyle w:val="FootnoteReference"/>
          <w:lang w:val="en-US"/>
        </w:rPr>
        <w:footnoteReference w:id="1"/>
      </w:r>
    </w:p>
    <w:p w:rsidR="00820842" w:rsidRDefault="00820842" w:rsidP="00820842">
      <w:pPr>
        <w:rPr>
          <w:lang w:val="en-US"/>
        </w:rPr>
      </w:pPr>
    </w:p>
    <w:p w:rsidR="00820842" w:rsidRPr="00144382" w:rsidRDefault="00820842" w:rsidP="00820842">
      <w:pPr>
        <w:pStyle w:val="ListParagraph"/>
        <w:numPr>
          <w:ilvl w:val="1"/>
          <w:numId w:val="2"/>
        </w:numPr>
        <w:spacing w:line="360" w:lineRule="auto"/>
        <w:rPr>
          <w:lang w:val="en-US"/>
        </w:rPr>
      </w:pPr>
      <w:r>
        <w:rPr>
          <w:lang w:val="en-US"/>
        </w:rPr>
        <w:t>He</w:t>
      </w:r>
      <w:r w:rsidRPr="00144382">
        <w:rPr>
          <w:lang w:val="en-US"/>
        </w:rPr>
        <w:t xml:space="preserve"> is an accredited Range officer. </w:t>
      </w:r>
      <w:r>
        <w:rPr>
          <w:lang w:val="en-US"/>
        </w:rPr>
        <w:t xml:space="preserve"> </w:t>
      </w:r>
      <w:proofErr w:type="spellStart"/>
      <w:r>
        <w:rPr>
          <w:lang w:val="en-US"/>
        </w:rPr>
        <w:t>Mr</w:t>
      </w:r>
      <w:proofErr w:type="spellEnd"/>
      <w:r>
        <w:rPr>
          <w:lang w:val="en-US"/>
        </w:rPr>
        <w:t xml:space="preserve"> </w:t>
      </w:r>
      <w:proofErr w:type="spellStart"/>
      <w:r>
        <w:rPr>
          <w:lang w:val="en-US"/>
        </w:rPr>
        <w:t>Hordern</w:t>
      </w:r>
      <w:proofErr w:type="spellEnd"/>
      <w:r w:rsidRPr="00144382">
        <w:rPr>
          <w:lang w:val="en-US"/>
        </w:rPr>
        <w:t xml:space="preserve"> </w:t>
      </w:r>
      <w:r>
        <w:rPr>
          <w:lang w:val="en-US"/>
        </w:rPr>
        <w:t>was relevantly</w:t>
      </w:r>
      <w:r w:rsidRPr="00144382">
        <w:rPr>
          <w:lang w:val="en-US"/>
        </w:rPr>
        <w:t xml:space="preserve"> licensed to possess general category and most other firearms</w:t>
      </w:r>
      <w:r>
        <w:rPr>
          <w:lang w:val="en-US"/>
        </w:rPr>
        <w:t>.</w:t>
      </w:r>
      <w:r w:rsidRPr="00144382">
        <w:rPr>
          <w:lang w:val="en-US"/>
        </w:rPr>
        <w:t xml:space="preserve"> </w:t>
      </w:r>
      <w:r>
        <w:rPr>
          <w:lang w:val="en-US"/>
        </w:rPr>
        <w:t>He shoots competitively and, before he was charged, regularly attended shooting ranges.</w:t>
      </w:r>
      <w:r w:rsidRPr="00144382">
        <w:rPr>
          <w:lang w:val="en-US"/>
        </w:rPr>
        <w:t xml:space="preserve">  </w:t>
      </w:r>
    </w:p>
    <w:p w:rsidR="00820842" w:rsidRDefault="00820842" w:rsidP="00820842">
      <w:pPr>
        <w:pStyle w:val="ListParagraph"/>
        <w:spacing w:line="360" w:lineRule="auto"/>
        <w:rPr>
          <w:lang w:val="en-US"/>
        </w:rPr>
      </w:pPr>
    </w:p>
    <w:p w:rsidR="00820842" w:rsidRPr="00144382" w:rsidRDefault="00820842" w:rsidP="00820842">
      <w:pPr>
        <w:pStyle w:val="ListParagraph"/>
        <w:numPr>
          <w:ilvl w:val="1"/>
          <w:numId w:val="2"/>
        </w:numPr>
        <w:spacing w:line="360" w:lineRule="auto"/>
        <w:rPr>
          <w:lang w:val="en-US"/>
        </w:rPr>
      </w:pPr>
      <w:r>
        <w:rPr>
          <w:lang w:val="en-US"/>
        </w:rPr>
        <w:t>To say that firearms, competitive shooting and hunting are his hobbies is an understatement.  They have been his life’s passion.  It is in that context that his offending must, it is submitted, be viewed and weighed.  He has</w:t>
      </w:r>
      <w:r w:rsidRPr="00144382">
        <w:rPr>
          <w:lang w:val="en-US"/>
        </w:rPr>
        <w:t xml:space="preserve"> for decades collected, restored, used and </w:t>
      </w:r>
      <w:r>
        <w:rPr>
          <w:lang w:val="en-US"/>
        </w:rPr>
        <w:t>s</w:t>
      </w:r>
      <w:r w:rsidRPr="00144382">
        <w:rPr>
          <w:lang w:val="en-US"/>
        </w:rPr>
        <w:t>tored firearms without blemish or incident.</w:t>
      </w:r>
    </w:p>
    <w:p w:rsidR="00820842" w:rsidRDefault="00820842" w:rsidP="00820842">
      <w:pPr>
        <w:spacing w:line="360" w:lineRule="auto"/>
        <w:ind w:left="720" w:hanging="720"/>
        <w:rPr>
          <w:lang w:val="en-US"/>
        </w:rPr>
      </w:pPr>
    </w:p>
    <w:p w:rsidR="00820842" w:rsidRDefault="00820842" w:rsidP="00820842">
      <w:pPr>
        <w:spacing w:line="360" w:lineRule="auto"/>
        <w:ind w:left="720" w:hanging="720"/>
        <w:rPr>
          <w:lang w:val="en-US"/>
        </w:rPr>
      </w:pPr>
      <w:r>
        <w:rPr>
          <w:lang w:val="en-US"/>
        </w:rPr>
        <w:t>1.5</w:t>
      </w:r>
      <w:r>
        <w:rPr>
          <w:lang w:val="en-US"/>
        </w:rPr>
        <w:tab/>
      </w:r>
      <w:proofErr w:type="spellStart"/>
      <w:r>
        <w:rPr>
          <w:lang w:val="en-US"/>
        </w:rPr>
        <w:t>Mr</w:t>
      </w:r>
      <w:proofErr w:type="spellEnd"/>
      <w:r>
        <w:rPr>
          <w:lang w:val="en-US"/>
        </w:rPr>
        <w:t xml:space="preserve"> </w:t>
      </w:r>
      <w:proofErr w:type="spellStart"/>
      <w:r>
        <w:rPr>
          <w:lang w:val="en-US"/>
        </w:rPr>
        <w:t>Hordern’s</w:t>
      </w:r>
      <w:proofErr w:type="spellEnd"/>
      <w:r>
        <w:rPr>
          <w:lang w:val="en-US"/>
        </w:rPr>
        <w:t xml:space="preserve"> offending, in the circumstances, falls well short of rendering it </w:t>
      </w:r>
      <w:r w:rsidRPr="00BC00BC">
        <w:rPr>
          <w:u w:val="single"/>
          <w:lang w:val="en-US"/>
        </w:rPr>
        <w:t>necessary</w:t>
      </w:r>
      <w:r>
        <w:rPr>
          <w:u w:val="single"/>
          <w:lang w:val="en-US"/>
        </w:rPr>
        <w:t xml:space="preserve"> </w:t>
      </w:r>
      <w:r w:rsidRPr="00BC00BC">
        <w:rPr>
          <w:lang w:val="en-US"/>
        </w:rPr>
        <w:t>that he receive</w:t>
      </w:r>
      <w:r>
        <w:rPr>
          <w:lang w:val="en-US"/>
        </w:rPr>
        <w:t xml:space="preserve"> – nor should he attract from the Court – the disposition of last resort. </w:t>
      </w:r>
    </w:p>
    <w:p w:rsidR="00820842" w:rsidRPr="00143295" w:rsidRDefault="00820842" w:rsidP="00820842">
      <w:pPr>
        <w:rPr>
          <w:b/>
          <w:smallCaps/>
          <w:lang w:val="en-US"/>
        </w:rPr>
      </w:pPr>
      <w:r>
        <w:rPr>
          <w:b/>
          <w:smallCaps/>
          <w:lang w:val="en-US"/>
        </w:rPr>
        <w:t>2.</w:t>
      </w:r>
      <w:r>
        <w:rPr>
          <w:b/>
          <w:smallCaps/>
          <w:lang w:val="en-US"/>
        </w:rPr>
        <w:tab/>
        <w:t>The intuitive synthesis and f</w:t>
      </w:r>
      <w:r w:rsidRPr="00143295">
        <w:rPr>
          <w:b/>
          <w:smallCaps/>
          <w:lang w:val="en-US"/>
        </w:rPr>
        <w:t>eatures in mitigation</w:t>
      </w:r>
    </w:p>
    <w:p w:rsidR="00820842" w:rsidRDefault="00820842" w:rsidP="00820842">
      <w:pPr>
        <w:ind w:left="720" w:hanging="720"/>
        <w:rPr>
          <w:lang w:val="en-US"/>
        </w:rPr>
      </w:pPr>
    </w:p>
    <w:p w:rsidR="00820842" w:rsidRDefault="00820842" w:rsidP="00820842">
      <w:pPr>
        <w:spacing w:line="360" w:lineRule="auto"/>
        <w:ind w:left="720" w:hanging="720"/>
        <w:rPr>
          <w:lang w:val="en-US"/>
        </w:rPr>
      </w:pPr>
      <w:r>
        <w:rPr>
          <w:lang w:val="en-US"/>
        </w:rPr>
        <w:lastRenderedPageBreak/>
        <w:t>2.1</w:t>
      </w:r>
      <w:r>
        <w:rPr>
          <w:lang w:val="en-US"/>
        </w:rPr>
        <w:tab/>
      </w:r>
      <w:proofErr w:type="spellStart"/>
      <w:r>
        <w:rPr>
          <w:lang w:val="en-US"/>
        </w:rPr>
        <w:t>Mr</w:t>
      </w:r>
      <w:proofErr w:type="spellEnd"/>
      <w:r>
        <w:rPr>
          <w:lang w:val="en-US"/>
        </w:rPr>
        <w:t xml:space="preserve"> </w:t>
      </w:r>
      <w:proofErr w:type="spellStart"/>
      <w:r>
        <w:rPr>
          <w:lang w:val="en-US"/>
        </w:rPr>
        <w:t>Hordern</w:t>
      </w:r>
      <w:proofErr w:type="spellEnd"/>
      <w:r>
        <w:rPr>
          <w:lang w:val="en-US"/>
        </w:rPr>
        <w:t xml:space="preserve"> is further able to call in aid of his plight:</w:t>
      </w:r>
    </w:p>
    <w:p w:rsidR="00820842" w:rsidRDefault="00820842" w:rsidP="00820842">
      <w:pPr>
        <w:numPr>
          <w:ilvl w:val="0"/>
          <w:numId w:val="1"/>
        </w:numPr>
        <w:spacing w:line="360" w:lineRule="auto"/>
        <w:rPr>
          <w:lang w:val="en-US"/>
        </w:rPr>
      </w:pPr>
      <w:r>
        <w:rPr>
          <w:lang w:val="en-US"/>
        </w:rPr>
        <w:t>his early guilty plea;</w:t>
      </w:r>
    </w:p>
    <w:p w:rsidR="00820842" w:rsidRDefault="00820842" w:rsidP="00820842">
      <w:pPr>
        <w:numPr>
          <w:ilvl w:val="0"/>
          <w:numId w:val="1"/>
        </w:numPr>
        <w:spacing w:line="360" w:lineRule="auto"/>
        <w:rPr>
          <w:lang w:val="en-US"/>
        </w:rPr>
      </w:pPr>
      <w:r>
        <w:rPr>
          <w:lang w:val="en-US"/>
        </w:rPr>
        <w:t>remorse and his self-castigation;</w:t>
      </w:r>
    </w:p>
    <w:p w:rsidR="00820842" w:rsidRDefault="00820842" w:rsidP="00820842">
      <w:pPr>
        <w:numPr>
          <w:ilvl w:val="0"/>
          <w:numId w:val="1"/>
        </w:numPr>
        <w:spacing w:line="360" w:lineRule="auto"/>
        <w:rPr>
          <w:lang w:val="en-US"/>
        </w:rPr>
      </w:pPr>
      <w:r>
        <w:rPr>
          <w:lang w:val="en-US"/>
        </w:rPr>
        <w:t>his shame;</w:t>
      </w:r>
    </w:p>
    <w:p w:rsidR="00820842" w:rsidRDefault="00820842" w:rsidP="00820842">
      <w:pPr>
        <w:numPr>
          <w:ilvl w:val="0"/>
          <w:numId w:val="1"/>
        </w:numPr>
        <w:spacing w:line="360" w:lineRule="auto"/>
        <w:rPr>
          <w:lang w:val="en-US"/>
        </w:rPr>
      </w:pPr>
      <w:r w:rsidRPr="00143295">
        <w:rPr>
          <w:lang w:val="en-US"/>
        </w:rPr>
        <w:t xml:space="preserve">his insight into the seriousness of </w:t>
      </w:r>
      <w:r>
        <w:rPr>
          <w:lang w:val="en-US"/>
        </w:rPr>
        <w:t xml:space="preserve">his </w:t>
      </w:r>
      <w:r w:rsidRPr="00143295">
        <w:rPr>
          <w:lang w:val="en-US"/>
        </w:rPr>
        <w:t>offending and to its implications for his family and the wider community</w:t>
      </w:r>
      <w:r>
        <w:rPr>
          <w:lang w:val="en-US"/>
        </w:rPr>
        <w:t>;</w:t>
      </w:r>
    </w:p>
    <w:p w:rsidR="00820842" w:rsidRDefault="00820842" w:rsidP="00820842">
      <w:pPr>
        <w:numPr>
          <w:ilvl w:val="0"/>
          <w:numId w:val="1"/>
        </w:numPr>
        <w:spacing w:line="360" w:lineRule="auto"/>
        <w:rPr>
          <w:lang w:val="en-US"/>
        </w:rPr>
      </w:pPr>
      <w:r>
        <w:rPr>
          <w:lang w:val="en-US"/>
        </w:rPr>
        <w:t>that he comes before the court a mature man without any criminal history;</w:t>
      </w:r>
    </w:p>
    <w:p w:rsidR="00820842" w:rsidRDefault="00820842" w:rsidP="00820842">
      <w:pPr>
        <w:numPr>
          <w:ilvl w:val="0"/>
          <w:numId w:val="1"/>
        </w:numPr>
        <w:spacing w:line="360" w:lineRule="auto"/>
        <w:rPr>
          <w:lang w:val="en-US"/>
        </w:rPr>
      </w:pPr>
      <w:r>
        <w:rPr>
          <w:lang w:val="en-US"/>
        </w:rPr>
        <w:t>his otherwise good character and reputation among his peers;</w:t>
      </w:r>
    </w:p>
    <w:p w:rsidR="00820842" w:rsidRDefault="00820842" w:rsidP="00820842">
      <w:pPr>
        <w:numPr>
          <w:ilvl w:val="0"/>
          <w:numId w:val="1"/>
        </w:numPr>
        <w:spacing w:line="360" w:lineRule="auto"/>
        <w:rPr>
          <w:lang w:val="en-US"/>
        </w:rPr>
      </w:pPr>
      <w:r>
        <w:rPr>
          <w:lang w:val="en-US"/>
        </w:rPr>
        <w:t>his impressive work history; and</w:t>
      </w:r>
    </w:p>
    <w:p w:rsidR="00820842" w:rsidRPr="00143295" w:rsidRDefault="00820842" w:rsidP="00820842">
      <w:pPr>
        <w:numPr>
          <w:ilvl w:val="0"/>
          <w:numId w:val="1"/>
        </w:numPr>
        <w:spacing w:line="360" w:lineRule="auto"/>
        <w:rPr>
          <w:lang w:val="en-US"/>
        </w:rPr>
      </w:pPr>
      <w:proofErr w:type="gramStart"/>
      <w:r>
        <w:rPr>
          <w:lang w:val="en-US"/>
        </w:rPr>
        <w:t>his</w:t>
      </w:r>
      <w:proofErr w:type="gramEnd"/>
      <w:r>
        <w:rPr>
          <w:lang w:val="en-US"/>
        </w:rPr>
        <w:t xml:space="preserve"> excellent prospects.</w:t>
      </w:r>
    </w:p>
    <w:p w:rsidR="00820842" w:rsidRDefault="00820842" w:rsidP="00820842">
      <w:pPr>
        <w:spacing w:line="360" w:lineRule="auto"/>
        <w:rPr>
          <w:lang w:val="en-US"/>
        </w:rPr>
      </w:pPr>
    </w:p>
    <w:p w:rsidR="00820842" w:rsidRDefault="00820842" w:rsidP="00820842">
      <w:pPr>
        <w:spacing w:line="360" w:lineRule="auto"/>
        <w:ind w:left="720" w:hanging="720"/>
        <w:rPr>
          <w:lang w:val="en-US"/>
        </w:rPr>
      </w:pPr>
      <w:r>
        <w:rPr>
          <w:lang w:val="en-US"/>
        </w:rPr>
        <w:t>2.2</w:t>
      </w:r>
      <w:r>
        <w:rPr>
          <w:lang w:val="en-US"/>
        </w:rPr>
        <w:tab/>
        <w:t xml:space="preserve">When </w:t>
      </w:r>
      <w:proofErr w:type="spellStart"/>
      <w:r>
        <w:rPr>
          <w:lang w:val="en-US"/>
        </w:rPr>
        <w:t>Mr</w:t>
      </w:r>
      <w:proofErr w:type="spellEnd"/>
      <w:r>
        <w:rPr>
          <w:lang w:val="en-US"/>
        </w:rPr>
        <w:t xml:space="preserve"> </w:t>
      </w:r>
      <w:proofErr w:type="spellStart"/>
      <w:r>
        <w:rPr>
          <w:lang w:val="en-US"/>
        </w:rPr>
        <w:t>Hordern</w:t>
      </w:r>
      <w:proofErr w:type="spellEnd"/>
      <w:r>
        <w:rPr>
          <w:lang w:val="en-US"/>
        </w:rPr>
        <w:t xml:space="preserve"> is found guilty of the offences with which he is charged, he will become a ‘prohibited person’ for a period of at least 12 months.</w:t>
      </w:r>
      <w:r>
        <w:rPr>
          <w:rStyle w:val="FootnoteReference"/>
          <w:lang w:val="en-US"/>
        </w:rPr>
        <w:footnoteReference w:id="2"/>
      </w:r>
      <w:r>
        <w:rPr>
          <w:lang w:val="en-US"/>
        </w:rPr>
        <w:t xml:space="preserve">   He has already had suspended </w:t>
      </w:r>
      <w:r w:rsidRPr="00E300E0">
        <w:rPr>
          <w:lang w:val="en-US"/>
        </w:rPr>
        <w:t xml:space="preserve">his firearms licenses </w:t>
      </w:r>
      <w:r>
        <w:rPr>
          <w:lang w:val="en-US"/>
        </w:rPr>
        <w:t>since</w:t>
      </w:r>
      <w:r w:rsidRPr="00E300E0">
        <w:rPr>
          <w:lang w:val="en-US"/>
        </w:rPr>
        <w:t xml:space="preserve"> February 2016.</w:t>
      </w:r>
      <w:r>
        <w:rPr>
          <w:lang w:val="en-US"/>
        </w:rPr>
        <w:t xml:space="preserve">  For a man who has made firearms and firearms-related activities his life’s pursuit, and the source of (practically) his entire social network, it is a considerable punishment.</w:t>
      </w:r>
    </w:p>
    <w:p w:rsidR="00820842" w:rsidRDefault="00820842" w:rsidP="00820842">
      <w:pPr>
        <w:spacing w:line="360" w:lineRule="auto"/>
        <w:rPr>
          <w:lang w:val="en-US"/>
        </w:rPr>
      </w:pPr>
    </w:p>
    <w:p w:rsidR="00820842" w:rsidRDefault="00820842" w:rsidP="00820842">
      <w:pPr>
        <w:spacing w:line="360" w:lineRule="auto"/>
        <w:rPr>
          <w:lang w:val="en-US"/>
        </w:rPr>
      </w:pPr>
      <w:r>
        <w:rPr>
          <w:lang w:val="en-US"/>
        </w:rPr>
        <w:t>2.3</w:t>
      </w:r>
      <w:r>
        <w:rPr>
          <w:lang w:val="en-US"/>
        </w:rPr>
        <w:tab/>
        <w:t xml:space="preserve">Were </w:t>
      </w:r>
      <w:proofErr w:type="spellStart"/>
      <w:r>
        <w:rPr>
          <w:lang w:val="en-US"/>
        </w:rPr>
        <w:t>Mr</w:t>
      </w:r>
      <w:proofErr w:type="spellEnd"/>
      <w:r>
        <w:rPr>
          <w:lang w:val="en-US"/>
        </w:rPr>
        <w:t xml:space="preserve"> </w:t>
      </w:r>
      <w:proofErr w:type="spellStart"/>
      <w:r>
        <w:rPr>
          <w:lang w:val="en-US"/>
        </w:rPr>
        <w:t>Hordern</w:t>
      </w:r>
      <w:proofErr w:type="spellEnd"/>
      <w:r>
        <w:rPr>
          <w:lang w:val="en-US"/>
        </w:rPr>
        <w:t xml:space="preserve"> to be sentenced to serve a Community Corrections Order </w:t>
      </w:r>
      <w:r w:rsidRPr="00275B7E">
        <w:rPr>
          <w:u w:val="single"/>
          <w:lang w:val="en-US"/>
        </w:rPr>
        <w:t xml:space="preserve">with a </w:t>
      </w:r>
      <w:r w:rsidRPr="00275B7E">
        <w:rPr>
          <w:lang w:val="en-US"/>
        </w:rPr>
        <w:tab/>
      </w:r>
      <w:r w:rsidRPr="00275B7E">
        <w:rPr>
          <w:u w:val="single"/>
          <w:lang w:val="en-US"/>
        </w:rPr>
        <w:t xml:space="preserve">supervision component </w:t>
      </w:r>
      <w:r>
        <w:rPr>
          <w:lang w:val="en-US"/>
        </w:rPr>
        <w:t xml:space="preserve">– the disposition that would </w:t>
      </w:r>
      <w:r w:rsidRPr="00AB3001">
        <w:rPr>
          <w:i/>
          <w:lang w:val="en-US"/>
        </w:rPr>
        <w:t>ordinarily have been advanced</w:t>
      </w:r>
      <w:r>
        <w:rPr>
          <w:lang w:val="en-US"/>
        </w:rPr>
        <w:t xml:space="preserve"> </w:t>
      </w:r>
      <w:r>
        <w:rPr>
          <w:lang w:val="en-US"/>
        </w:rPr>
        <w:tab/>
        <w:t xml:space="preserve">on his behalf as appropriate – he will by operation of law become a ‘prohibited </w:t>
      </w:r>
      <w:r>
        <w:rPr>
          <w:lang w:val="en-US"/>
        </w:rPr>
        <w:tab/>
        <w:t xml:space="preserve">person’ for a period of five (5) years, commencing </w:t>
      </w:r>
      <w:r w:rsidRPr="00DE0CF0">
        <w:rPr>
          <w:i/>
          <w:lang w:val="en-US"/>
        </w:rPr>
        <w:t>upon the expiration</w:t>
      </w:r>
      <w:r>
        <w:rPr>
          <w:lang w:val="en-US"/>
        </w:rPr>
        <w:t xml:space="preserve"> of that Order;</w:t>
      </w:r>
      <w:r>
        <w:rPr>
          <w:rStyle w:val="FootnoteReference"/>
          <w:lang w:val="en-US"/>
        </w:rPr>
        <w:footnoteReference w:id="3"/>
      </w:r>
      <w:r>
        <w:rPr>
          <w:lang w:val="en-US"/>
        </w:rPr>
        <w:t xml:space="preserve"> </w:t>
      </w:r>
      <w:r>
        <w:rPr>
          <w:lang w:val="en-US"/>
        </w:rPr>
        <w:tab/>
      </w:r>
    </w:p>
    <w:p w:rsidR="00820842" w:rsidRDefault="00820842" w:rsidP="00820842">
      <w:pPr>
        <w:spacing w:line="360" w:lineRule="auto"/>
        <w:ind w:left="720" w:hanging="720"/>
        <w:rPr>
          <w:lang w:val="en-US"/>
        </w:rPr>
      </w:pPr>
      <w:r>
        <w:rPr>
          <w:lang w:val="en-US"/>
        </w:rPr>
        <w:t>2.4</w:t>
      </w:r>
      <w:r>
        <w:rPr>
          <w:lang w:val="en-US"/>
        </w:rPr>
        <w:tab/>
        <w:t xml:space="preserve">For </w:t>
      </w:r>
      <w:proofErr w:type="spellStart"/>
      <w:r>
        <w:rPr>
          <w:lang w:val="en-US"/>
        </w:rPr>
        <w:t>Mr</w:t>
      </w:r>
      <w:proofErr w:type="spellEnd"/>
      <w:r>
        <w:rPr>
          <w:lang w:val="en-US"/>
        </w:rPr>
        <w:t xml:space="preserve"> </w:t>
      </w:r>
      <w:proofErr w:type="spellStart"/>
      <w:r>
        <w:rPr>
          <w:lang w:val="en-US"/>
        </w:rPr>
        <w:t>Hordern</w:t>
      </w:r>
      <w:proofErr w:type="spellEnd"/>
      <w:r>
        <w:rPr>
          <w:lang w:val="en-US"/>
        </w:rPr>
        <w:t>, and his special circumstances, that disposition would carry with it too stern a punitive element.</w:t>
      </w:r>
    </w:p>
    <w:p w:rsidR="00820842" w:rsidRDefault="00820842" w:rsidP="00820842">
      <w:pPr>
        <w:spacing w:line="360" w:lineRule="auto"/>
        <w:rPr>
          <w:lang w:val="en-US"/>
        </w:rPr>
      </w:pPr>
    </w:p>
    <w:p w:rsidR="00820842" w:rsidRDefault="00820842" w:rsidP="00820842">
      <w:pPr>
        <w:tabs>
          <w:tab w:val="left" w:pos="720"/>
          <w:tab w:val="center" w:pos="4536"/>
          <w:tab w:val="right" w:pos="8789"/>
        </w:tabs>
        <w:spacing w:line="360" w:lineRule="auto"/>
        <w:ind w:left="720" w:hanging="720"/>
      </w:pPr>
      <w:r>
        <w:t>2.5</w:t>
      </w:r>
      <w:r>
        <w:tab/>
        <w:t xml:space="preserve">It is not, it is submitted, necessary that he Mr </w:t>
      </w:r>
      <w:proofErr w:type="spellStart"/>
      <w:r>
        <w:t>Hordern</w:t>
      </w:r>
      <w:proofErr w:type="spellEnd"/>
      <w:r>
        <w:t xml:space="preserve"> be sentenced to gaol.  And it is not necessary – indeed, it would be counterproductive – were he to be given a disposition that would render him a ‘prohibited person’ for a period exceeding the mandatory 12 months. </w:t>
      </w:r>
    </w:p>
    <w:p w:rsidR="00820842" w:rsidRPr="00514D15" w:rsidRDefault="00820842" w:rsidP="00820842">
      <w:pPr>
        <w:tabs>
          <w:tab w:val="left" w:pos="720"/>
          <w:tab w:val="center" w:pos="4536"/>
          <w:tab w:val="right" w:pos="8789"/>
        </w:tabs>
        <w:spacing w:line="360" w:lineRule="auto"/>
        <w:ind w:left="720" w:hanging="720"/>
        <w:jc w:val="center"/>
        <w:rPr>
          <w:b/>
        </w:rPr>
      </w:pPr>
      <w:r>
        <w:tab/>
      </w:r>
    </w:p>
    <w:p w:rsidR="00820842" w:rsidRDefault="00820842" w:rsidP="00820842">
      <w:pPr>
        <w:tabs>
          <w:tab w:val="left" w:pos="720"/>
          <w:tab w:val="center" w:pos="4536"/>
          <w:tab w:val="right" w:pos="8789"/>
        </w:tabs>
        <w:ind w:left="720" w:hanging="720"/>
        <w:jc w:val="right"/>
        <w:rPr>
          <w:b/>
        </w:rPr>
      </w:pPr>
    </w:p>
    <w:p w:rsidR="00820842" w:rsidRDefault="00820842" w:rsidP="00820842">
      <w:pPr>
        <w:tabs>
          <w:tab w:val="left" w:pos="720"/>
          <w:tab w:val="center" w:pos="4536"/>
          <w:tab w:val="right" w:pos="8789"/>
        </w:tabs>
        <w:ind w:left="720" w:hanging="720"/>
        <w:jc w:val="right"/>
      </w:pPr>
      <w:r>
        <w:rPr>
          <w:b/>
        </w:rPr>
        <w:lastRenderedPageBreak/>
        <w:t xml:space="preserve">Counsel for </w:t>
      </w:r>
      <w:proofErr w:type="spellStart"/>
      <w:r>
        <w:rPr>
          <w:b/>
        </w:rPr>
        <w:t>Mr.</w:t>
      </w:r>
      <w:proofErr w:type="spellEnd"/>
      <w:r>
        <w:rPr>
          <w:b/>
        </w:rPr>
        <w:t xml:space="preserve"> </w:t>
      </w:r>
      <w:proofErr w:type="spellStart"/>
      <w:r>
        <w:rPr>
          <w:b/>
        </w:rPr>
        <w:t>Hordern</w:t>
      </w:r>
      <w:proofErr w:type="spellEnd"/>
    </w:p>
    <w:p w:rsidR="007C4FA0" w:rsidRDefault="007C4FA0"/>
    <w:sectPr w:rsidR="007C4FA0" w:rsidSect="00423976">
      <w:headerReference w:type="even" r:id="rId7"/>
      <w:headerReference w:type="default" r:id="rId8"/>
      <w:pgSz w:w="11906" w:h="16838"/>
      <w:pgMar w:top="1440" w:right="1418" w:bottom="1440"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42" w:rsidRDefault="00820842" w:rsidP="00820842">
      <w:r>
        <w:separator/>
      </w:r>
    </w:p>
  </w:endnote>
  <w:endnote w:type="continuationSeparator" w:id="0">
    <w:p w:rsidR="00820842" w:rsidRDefault="00820842" w:rsidP="0082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42" w:rsidRDefault="00820842" w:rsidP="00820842">
      <w:r>
        <w:separator/>
      </w:r>
    </w:p>
  </w:footnote>
  <w:footnote w:type="continuationSeparator" w:id="0">
    <w:p w:rsidR="00820842" w:rsidRDefault="00820842" w:rsidP="00820842">
      <w:r>
        <w:continuationSeparator/>
      </w:r>
    </w:p>
  </w:footnote>
  <w:footnote w:id="1">
    <w:p w:rsidR="00820842" w:rsidRPr="001E69CD" w:rsidRDefault="00820842" w:rsidP="00820842">
      <w:pPr>
        <w:pStyle w:val="FootnoteText"/>
        <w:rPr>
          <w:lang w:val="en-AU"/>
        </w:rPr>
      </w:pPr>
      <w:r>
        <w:rPr>
          <w:rStyle w:val="FootnoteReference"/>
        </w:rPr>
        <w:footnoteRef/>
      </w:r>
      <w:r>
        <w:t xml:space="preserve"> </w:t>
      </w:r>
      <w:r>
        <w:rPr>
          <w:lang w:val="en-AU"/>
        </w:rPr>
        <w:tab/>
        <w:t xml:space="preserve">The fact that Mr </w:t>
      </w:r>
      <w:proofErr w:type="spellStart"/>
      <w:r>
        <w:rPr>
          <w:lang w:val="en-AU"/>
        </w:rPr>
        <w:t>Hordern</w:t>
      </w:r>
      <w:proofErr w:type="spellEnd"/>
      <w:r>
        <w:rPr>
          <w:lang w:val="en-AU"/>
        </w:rPr>
        <w:t xml:space="preserve"> is not or was not a prohibited person has made finding ‘comparable cases’ – </w:t>
      </w:r>
      <w:r>
        <w:rPr>
          <w:lang w:val="en-AU"/>
        </w:rPr>
        <w:tab/>
        <w:t xml:space="preserve">especially at the intermediate appellate level – all-but impossible.  So too have Mr </w:t>
      </w:r>
      <w:proofErr w:type="spellStart"/>
      <w:r>
        <w:rPr>
          <w:lang w:val="en-AU"/>
        </w:rPr>
        <w:t>Hordern</w:t>
      </w:r>
      <w:proofErr w:type="spellEnd"/>
      <w:r>
        <w:rPr>
          <w:lang w:val="en-AU"/>
        </w:rPr>
        <w:t xml:space="preserve"> almost </w:t>
      </w:r>
      <w:r>
        <w:rPr>
          <w:lang w:val="en-AU"/>
        </w:rPr>
        <w:tab/>
        <w:t>unique circumstances.</w:t>
      </w:r>
    </w:p>
  </w:footnote>
  <w:footnote w:id="2">
    <w:p w:rsidR="00820842" w:rsidRPr="00275B7E" w:rsidRDefault="00820842" w:rsidP="00820842">
      <w:pPr>
        <w:pStyle w:val="FootnoteText"/>
        <w:spacing w:line="360" w:lineRule="auto"/>
        <w:rPr>
          <w:lang w:val="en-AU"/>
        </w:rPr>
      </w:pPr>
      <w:r>
        <w:rPr>
          <w:rStyle w:val="FootnoteReference"/>
        </w:rPr>
        <w:footnoteRef/>
      </w:r>
      <w:r>
        <w:t xml:space="preserve"> </w:t>
      </w:r>
      <w:r>
        <w:tab/>
      </w:r>
      <w:r w:rsidRPr="00275B7E">
        <w:t xml:space="preserve">See ‘prohibited person’ as defined in the </w:t>
      </w:r>
      <w:r w:rsidRPr="00275B7E">
        <w:rPr>
          <w:i/>
        </w:rPr>
        <w:t>Firearms Act 1996</w:t>
      </w:r>
      <w:r w:rsidRPr="00275B7E">
        <w:t>, section 3(1)(</w:t>
      </w:r>
      <w:r>
        <w:t>d)</w:t>
      </w:r>
    </w:p>
  </w:footnote>
  <w:footnote w:id="3">
    <w:p w:rsidR="00820842" w:rsidRPr="00E300E0" w:rsidRDefault="00820842" w:rsidP="00820842">
      <w:pPr>
        <w:pStyle w:val="FootnoteText"/>
        <w:rPr>
          <w:lang w:val="en-AU"/>
        </w:rPr>
      </w:pPr>
      <w:r>
        <w:rPr>
          <w:rStyle w:val="FootnoteReference"/>
        </w:rPr>
        <w:footnoteRef/>
      </w:r>
      <w:r>
        <w:t xml:space="preserve"> </w:t>
      </w:r>
      <w:r>
        <w:rPr>
          <w:lang w:val="en-AU"/>
        </w:rPr>
        <w:tab/>
      </w:r>
      <w:r w:rsidRPr="00E300E0">
        <w:rPr>
          <w:i/>
          <w:lang w:val="en-AU"/>
        </w:rPr>
        <w:t>Firearms Act 199</w:t>
      </w:r>
      <w:r>
        <w:rPr>
          <w:i/>
          <w:lang w:val="en-AU"/>
        </w:rPr>
        <w:t>6</w:t>
      </w:r>
      <w:r>
        <w:rPr>
          <w:lang w:val="en-AU"/>
        </w:rPr>
        <w:t>, section 3(1)(c)(</w:t>
      </w:r>
      <w:proofErr w:type="spellStart"/>
      <w:r>
        <w:rPr>
          <w:lang w:val="en-AU"/>
        </w:rPr>
        <w:t>iia</w:t>
      </w:r>
      <w:proofErr w:type="spellEnd"/>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72" w:rsidRDefault="00820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872" w:rsidRDefault="00BC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72" w:rsidRDefault="008208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BE1">
      <w:rPr>
        <w:rStyle w:val="PageNumber"/>
        <w:noProof/>
      </w:rPr>
      <w:t>- 3 -</w:t>
    </w:r>
    <w:r>
      <w:rPr>
        <w:rStyle w:val="PageNumber"/>
      </w:rPr>
      <w:fldChar w:fldCharType="end"/>
    </w:r>
  </w:p>
  <w:p w:rsidR="00982872" w:rsidRDefault="00BC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6FB9"/>
    <w:multiLevelType w:val="hybridMultilevel"/>
    <w:tmpl w:val="A59E4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7DAB6202"/>
    <w:multiLevelType w:val="multilevel"/>
    <w:tmpl w:val="E41A63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C21A5B"/>
    <w:multiLevelType w:val="hybridMultilevel"/>
    <w:tmpl w:val="71E4A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42"/>
    <w:rsid w:val="00596309"/>
    <w:rsid w:val="007C4FA0"/>
    <w:rsid w:val="00820842"/>
    <w:rsid w:val="00BC2BE1"/>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97213-2AC9-4DEB-9205-F1EDEE5A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42"/>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842"/>
    <w:pPr>
      <w:tabs>
        <w:tab w:val="center" w:pos="4153"/>
        <w:tab w:val="right" w:pos="8306"/>
      </w:tabs>
    </w:pPr>
  </w:style>
  <w:style w:type="character" w:customStyle="1" w:styleId="HeaderChar">
    <w:name w:val="Header Char"/>
    <w:basedOn w:val="DefaultParagraphFont"/>
    <w:link w:val="Header"/>
    <w:rsid w:val="00820842"/>
    <w:rPr>
      <w:rFonts w:ascii="Times New Roman" w:eastAsia="Times New Roman" w:hAnsi="Times New Roman" w:cs="Times New Roman"/>
      <w:sz w:val="24"/>
      <w:szCs w:val="24"/>
      <w:lang w:val="en-GB" w:eastAsia="en-AU"/>
    </w:rPr>
  </w:style>
  <w:style w:type="character" w:styleId="PageNumber">
    <w:name w:val="page number"/>
    <w:basedOn w:val="DefaultParagraphFont"/>
    <w:rsid w:val="00820842"/>
  </w:style>
  <w:style w:type="paragraph" w:styleId="FootnoteText">
    <w:name w:val="footnote text"/>
    <w:basedOn w:val="Normal"/>
    <w:link w:val="FootnoteTextChar"/>
    <w:semiHidden/>
    <w:rsid w:val="00820842"/>
    <w:rPr>
      <w:sz w:val="20"/>
    </w:rPr>
  </w:style>
  <w:style w:type="character" w:customStyle="1" w:styleId="FootnoteTextChar">
    <w:name w:val="Footnote Text Char"/>
    <w:basedOn w:val="DefaultParagraphFont"/>
    <w:link w:val="FootnoteText"/>
    <w:semiHidden/>
    <w:rsid w:val="00820842"/>
    <w:rPr>
      <w:rFonts w:ascii="Times New Roman" w:eastAsia="Times New Roman" w:hAnsi="Times New Roman" w:cs="Times New Roman"/>
      <w:sz w:val="20"/>
      <w:szCs w:val="24"/>
      <w:lang w:val="en-GB" w:eastAsia="en-AU"/>
    </w:rPr>
  </w:style>
  <w:style w:type="character" w:styleId="FootnoteReference">
    <w:name w:val="footnote reference"/>
    <w:semiHidden/>
    <w:rsid w:val="00820842"/>
    <w:rPr>
      <w:vertAlign w:val="superscript"/>
    </w:rPr>
  </w:style>
  <w:style w:type="paragraph" w:styleId="ListParagraph">
    <w:name w:val="List Paragraph"/>
    <w:basedOn w:val="Normal"/>
    <w:qFormat/>
    <w:rsid w:val="0082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2</cp:revision>
  <dcterms:created xsi:type="dcterms:W3CDTF">2018-03-09T01:33:00Z</dcterms:created>
  <dcterms:modified xsi:type="dcterms:W3CDTF">2018-03-15T05:13:00Z</dcterms:modified>
</cp:coreProperties>
</file>