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9A" w:rsidRPr="001513BC" w:rsidRDefault="0023669A">
      <w:pPr>
        <w:spacing w:line="240" w:lineRule="auto"/>
        <w:rPr>
          <w:sz w:val="2"/>
        </w:rPr>
      </w:pPr>
      <w:bookmarkStart w:id="0" w:name="DELcoverPage"/>
    </w:p>
    <w:tbl>
      <w:tblPr>
        <w:tblW w:w="10008" w:type="dxa"/>
        <w:tblLayout w:type="fixed"/>
        <w:tblLook w:val="0000" w:firstRow="0" w:lastRow="0" w:firstColumn="0" w:lastColumn="0" w:noHBand="0" w:noVBand="0"/>
      </w:tblPr>
      <w:tblGrid>
        <w:gridCol w:w="6948"/>
        <w:gridCol w:w="3060"/>
      </w:tblGrid>
      <w:tr w:rsidR="001513BC" w:rsidRPr="001513BC" w:rsidTr="00D40104">
        <w:tc>
          <w:tcPr>
            <w:tcW w:w="6948" w:type="dxa"/>
          </w:tcPr>
          <w:p w:rsidR="00295864" w:rsidRPr="001513BC" w:rsidRDefault="00295864" w:rsidP="00295864">
            <w:pPr>
              <w:tabs>
                <w:tab w:val="center" w:pos="1980"/>
              </w:tabs>
              <w:rPr>
                <w:rFonts w:cs="Arial"/>
                <w:u w:val="single"/>
              </w:rPr>
            </w:pPr>
            <w:bookmarkStart w:id="1" w:name="HEADERtable" w:colFirst="0" w:colLast="0"/>
            <w:r w:rsidRPr="001513BC">
              <w:rPr>
                <w:rFonts w:cs="Arial"/>
                <w:u w:val="single"/>
              </w:rPr>
              <w:t>IN THE COUNTY COURT OF VICTORIA</w:t>
            </w:r>
          </w:p>
          <w:p w:rsidR="00C83F96" w:rsidRPr="001513BC" w:rsidRDefault="00C83F96" w:rsidP="00C83F96">
            <w:pPr>
              <w:pStyle w:val="Caption"/>
              <w:rPr>
                <w:caps/>
                <w:szCs w:val="24"/>
              </w:rPr>
            </w:pPr>
            <w:r w:rsidRPr="001513BC">
              <w:rPr>
                <w:caps/>
                <w:szCs w:val="24"/>
              </w:rPr>
              <w:t xml:space="preserve">AT </w:t>
            </w:r>
            <w:bookmarkStart w:id="2" w:name="WhereHeld1"/>
            <w:bookmarkEnd w:id="2"/>
            <w:r w:rsidR="00960E39" w:rsidRPr="001513BC">
              <w:rPr>
                <w:caps/>
                <w:szCs w:val="24"/>
              </w:rPr>
              <w:t>GEELONG</w:t>
            </w:r>
          </w:p>
          <w:p w:rsidR="00C83F96" w:rsidRPr="001513BC" w:rsidRDefault="003159B9" w:rsidP="00C83F96">
            <w:pPr>
              <w:rPr>
                <w:rFonts w:cs="Arial"/>
                <w:caps/>
                <w:u w:val="single"/>
              </w:rPr>
            </w:pPr>
            <w:bookmarkStart w:id="3" w:name="Division"/>
            <w:bookmarkStart w:id="4" w:name="DELdivision"/>
            <w:bookmarkEnd w:id="3"/>
            <w:r w:rsidRPr="001513BC">
              <w:rPr>
                <w:rFonts w:cs="Arial"/>
                <w:caps/>
                <w:u w:val="single"/>
              </w:rPr>
              <w:t>CRIMINAL</w:t>
            </w:r>
            <w:r w:rsidR="00C83F96" w:rsidRPr="001513BC">
              <w:rPr>
                <w:rFonts w:cs="Arial"/>
                <w:caps/>
                <w:u w:val="single"/>
              </w:rPr>
              <w:t xml:space="preserve"> DIVISION</w:t>
            </w:r>
            <w:bookmarkEnd w:id="4"/>
          </w:p>
        </w:tc>
        <w:tc>
          <w:tcPr>
            <w:tcW w:w="3060" w:type="dxa"/>
            <w:tcBorders>
              <w:top w:val="single" w:sz="4" w:space="0" w:color="auto"/>
              <w:left w:val="single" w:sz="4" w:space="0" w:color="auto"/>
              <w:bottom w:val="single" w:sz="4" w:space="0" w:color="auto"/>
              <w:right w:val="single" w:sz="4" w:space="0" w:color="auto"/>
            </w:tcBorders>
          </w:tcPr>
          <w:p w:rsidR="00D40104" w:rsidRPr="001513BC" w:rsidRDefault="00AF7B58" w:rsidP="00AF7B58">
            <w:pPr>
              <w:ind w:right="-18"/>
              <w:jc w:val="center"/>
              <w:rPr>
                <w:rFonts w:cs="Arial"/>
              </w:rPr>
            </w:pPr>
            <w:r w:rsidRPr="001513BC">
              <w:rPr>
                <w:rFonts w:cs="Arial"/>
                <w:sz w:val="22"/>
                <w:szCs w:val="22"/>
              </w:rPr>
              <w:t>ANONYMISED AND ADAPTED FOR EDUCATIONAL PURPOSES</w:t>
            </w:r>
          </w:p>
        </w:tc>
      </w:tr>
    </w:tbl>
    <w:p w:rsidR="00AF7B58" w:rsidRPr="001513BC" w:rsidRDefault="00AF7B58">
      <w:pPr>
        <w:spacing w:line="240" w:lineRule="auto"/>
        <w:jc w:val="right"/>
        <w:rPr>
          <w:rFonts w:cs="Arial"/>
        </w:rPr>
      </w:pPr>
      <w:bookmarkStart w:id="5" w:name="SubDivision"/>
      <w:bookmarkEnd w:id="1"/>
      <w:bookmarkEnd w:id="5"/>
    </w:p>
    <w:p w:rsidR="0023669A" w:rsidRPr="001513BC" w:rsidRDefault="0023669A">
      <w:pPr>
        <w:spacing w:line="240" w:lineRule="auto"/>
        <w:jc w:val="right"/>
        <w:rPr>
          <w:rFonts w:cs="Arial"/>
        </w:rPr>
      </w:pPr>
      <w:r w:rsidRPr="001513BC">
        <w:rPr>
          <w:rFonts w:cs="Arial"/>
        </w:rPr>
        <w:t>Case No.</w:t>
      </w:r>
      <w:r w:rsidR="00BF482E" w:rsidRPr="001513BC">
        <w:rPr>
          <w:rFonts w:cs="Arial"/>
        </w:rPr>
        <w:t xml:space="preserve"> CR-</w:t>
      </w:r>
      <w:bookmarkStart w:id="6" w:name="CaseNo"/>
      <w:bookmarkEnd w:id="6"/>
      <w:r w:rsidR="00AF7B58" w:rsidRPr="001513BC">
        <w:rPr>
          <w:rFonts w:cs="Arial"/>
        </w:rPr>
        <w:t>ZZ-GAXT</w:t>
      </w:r>
      <w:r w:rsidRPr="001513BC">
        <w:rPr>
          <w:rFonts w:cs="Arial"/>
        </w:rPr>
        <w:fldChar w:fldCharType="begin"/>
      </w:r>
      <w:r w:rsidRPr="001513BC">
        <w:rPr>
          <w:rFonts w:cs="Arial"/>
        </w:rPr>
        <w:instrText xml:space="preserve">  </w:instrText>
      </w:r>
      <w:r w:rsidRPr="001513BC">
        <w:rPr>
          <w:rFonts w:cs="Arial"/>
        </w:rPr>
        <w:fldChar w:fldCharType="end"/>
      </w:r>
    </w:p>
    <w:p w:rsidR="0023669A" w:rsidRPr="001513BC" w:rsidRDefault="0023669A">
      <w:pPr>
        <w:rPr>
          <w:rFonts w:cs="Arial"/>
        </w:rPr>
      </w:pPr>
    </w:p>
    <w:p w:rsidR="0023669A" w:rsidRPr="001513BC" w:rsidRDefault="0023669A">
      <w:pPr>
        <w:pStyle w:val="Normal-Cover"/>
        <w:rPr>
          <w:rFonts w:cs="Arial"/>
        </w:rPr>
      </w:pPr>
    </w:p>
    <w:tbl>
      <w:tblPr>
        <w:tblW w:w="10008" w:type="dxa"/>
        <w:tblLayout w:type="fixed"/>
        <w:tblLook w:val="0000" w:firstRow="0" w:lastRow="0" w:firstColumn="0" w:lastColumn="0" w:noHBand="0" w:noVBand="0"/>
      </w:tblPr>
      <w:tblGrid>
        <w:gridCol w:w="8330"/>
        <w:gridCol w:w="1678"/>
      </w:tblGrid>
      <w:tr w:rsidR="001513BC" w:rsidRPr="001513BC" w:rsidTr="00033142">
        <w:trPr>
          <w:cantSplit/>
        </w:trPr>
        <w:tc>
          <w:tcPr>
            <w:tcW w:w="8330" w:type="dxa"/>
            <w:vAlign w:val="bottom"/>
          </w:tcPr>
          <w:p w:rsidR="0023669A" w:rsidRPr="001513BC" w:rsidRDefault="0080311D">
            <w:pPr>
              <w:pStyle w:val="Normal-Cover"/>
              <w:rPr>
                <w:rFonts w:cs="Arial"/>
              </w:rPr>
            </w:pPr>
            <w:bookmarkStart w:id="7" w:name="COVplaintiff"/>
            <w:bookmarkEnd w:id="7"/>
            <w:r w:rsidRPr="001513BC">
              <w:rPr>
                <w:rFonts w:cs="Arial"/>
              </w:rPr>
              <w:t xml:space="preserve">COMMONWEALTH </w:t>
            </w:r>
            <w:r w:rsidR="003159B9" w:rsidRPr="001513BC">
              <w:rPr>
                <w:rFonts w:cs="Arial"/>
              </w:rPr>
              <w:t>DIRECTOR OF PUBLIC PROSECUTIONS</w:t>
            </w:r>
            <w:r w:rsidR="0023669A" w:rsidRPr="001513BC">
              <w:rPr>
                <w:rFonts w:cs="Arial"/>
              </w:rPr>
              <w:fldChar w:fldCharType="begin"/>
            </w:r>
            <w:r w:rsidR="0023669A" w:rsidRPr="001513BC">
              <w:rPr>
                <w:rFonts w:cs="Arial"/>
              </w:rPr>
              <w:instrText xml:space="preserve">  </w:instrText>
            </w:r>
            <w:r w:rsidR="0023669A" w:rsidRPr="001513BC">
              <w:rPr>
                <w:rFonts w:cs="Arial"/>
              </w:rPr>
              <w:fldChar w:fldCharType="end"/>
            </w:r>
          </w:p>
        </w:tc>
        <w:tc>
          <w:tcPr>
            <w:tcW w:w="1678" w:type="dxa"/>
          </w:tcPr>
          <w:p w:rsidR="0023669A" w:rsidRPr="001513BC" w:rsidRDefault="0023669A">
            <w:pPr>
              <w:pStyle w:val="Normal-Cover"/>
              <w:jc w:val="right"/>
              <w:rPr>
                <w:rFonts w:cs="Arial"/>
              </w:rPr>
            </w:pPr>
            <w:bookmarkStart w:id="8" w:name="CoverStart"/>
            <w:bookmarkStart w:id="9" w:name="Start"/>
            <w:bookmarkEnd w:id="8"/>
            <w:bookmarkEnd w:id="9"/>
          </w:p>
        </w:tc>
      </w:tr>
      <w:tr w:rsidR="001513BC" w:rsidRPr="001513BC" w:rsidTr="00033142">
        <w:tc>
          <w:tcPr>
            <w:tcW w:w="8330" w:type="dxa"/>
          </w:tcPr>
          <w:p w:rsidR="0023669A" w:rsidRPr="001513BC" w:rsidRDefault="0023669A">
            <w:pPr>
              <w:pStyle w:val="Normal-Cover"/>
              <w:rPr>
                <w:rFonts w:cs="Arial"/>
              </w:rPr>
            </w:pPr>
          </w:p>
        </w:tc>
        <w:tc>
          <w:tcPr>
            <w:tcW w:w="1678" w:type="dxa"/>
          </w:tcPr>
          <w:p w:rsidR="0023669A" w:rsidRPr="001513BC" w:rsidRDefault="0023669A">
            <w:pPr>
              <w:pStyle w:val="Normal-Cover"/>
              <w:jc w:val="right"/>
              <w:rPr>
                <w:rFonts w:cs="Arial"/>
              </w:rPr>
            </w:pPr>
          </w:p>
        </w:tc>
      </w:tr>
      <w:tr w:rsidR="001513BC" w:rsidRPr="001513BC" w:rsidTr="00033142">
        <w:tc>
          <w:tcPr>
            <w:tcW w:w="8330" w:type="dxa"/>
          </w:tcPr>
          <w:p w:rsidR="0023669A" w:rsidRPr="001513BC" w:rsidRDefault="0023669A">
            <w:pPr>
              <w:pStyle w:val="Normal-Cover"/>
              <w:rPr>
                <w:rFonts w:cs="Arial"/>
              </w:rPr>
            </w:pPr>
            <w:r w:rsidRPr="001513BC">
              <w:rPr>
                <w:rFonts w:cs="Arial"/>
              </w:rPr>
              <w:t>v</w:t>
            </w:r>
          </w:p>
        </w:tc>
        <w:tc>
          <w:tcPr>
            <w:tcW w:w="1678" w:type="dxa"/>
          </w:tcPr>
          <w:p w:rsidR="0023669A" w:rsidRPr="001513BC" w:rsidRDefault="0023669A">
            <w:pPr>
              <w:pStyle w:val="Normal-Cover"/>
              <w:jc w:val="right"/>
              <w:rPr>
                <w:rFonts w:cs="Arial"/>
              </w:rPr>
            </w:pPr>
          </w:p>
        </w:tc>
      </w:tr>
      <w:tr w:rsidR="001513BC" w:rsidRPr="001513BC" w:rsidTr="00033142">
        <w:tc>
          <w:tcPr>
            <w:tcW w:w="8330" w:type="dxa"/>
          </w:tcPr>
          <w:p w:rsidR="0023669A" w:rsidRPr="001513BC" w:rsidRDefault="0023669A">
            <w:pPr>
              <w:pStyle w:val="Normal-Cover"/>
              <w:rPr>
                <w:rFonts w:cs="Arial"/>
              </w:rPr>
            </w:pPr>
          </w:p>
        </w:tc>
        <w:tc>
          <w:tcPr>
            <w:tcW w:w="1678" w:type="dxa"/>
          </w:tcPr>
          <w:p w:rsidR="0023669A" w:rsidRPr="001513BC" w:rsidRDefault="0023669A">
            <w:pPr>
              <w:pStyle w:val="Normal-Cover"/>
              <w:jc w:val="right"/>
              <w:rPr>
                <w:rFonts w:cs="Arial"/>
              </w:rPr>
            </w:pPr>
          </w:p>
        </w:tc>
      </w:tr>
      <w:tr w:rsidR="001513BC" w:rsidRPr="001513BC" w:rsidTr="00033142">
        <w:trPr>
          <w:cantSplit/>
        </w:trPr>
        <w:tc>
          <w:tcPr>
            <w:tcW w:w="8330" w:type="dxa"/>
          </w:tcPr>
          <w:p w:rsidR="0023669A" w:rsidRPr="001513BC" w:rsidRDefault="00BA52C3" w:rsidP="00BA52C3">
            <w:pPr>
              <w:pStyle w:val="Normal-Cover"/>
              <w:rPr>
                <w:rFonts w:cs="Arial"/>
              </w:rPr>
            </w:pPr>
            <w:bookmarkStart w:id="10" w:name="COVdefendant"/>
            <w:bookmarkEnd w:id="10"/>
            <w:r w:rsidRPr="001513BC">
              <w:rPr>
                <w:rFonts w:cs="Arial"/>
              </w:rPr>
              <w:t>ARMAND CERNAGOJ (A PSEUDONYM)</w:t>
            </w:r>
          </w:p>
        </w:tc>
        <w:tc>
          <w:tcPr>
            <w:tcW w:w="1678" w:type="dxa"/>
          </w:tcPr>
          <w:p w:rsidR="0023669A" w:rsidRPr="001513BC" w:rsidRDefault="0023669A">
            <w:pPr>
              <w:pStyle w:val="Normal-Cover"/>
              <w:jc w:val="right"/>
              <w:rPr>
                <w:rFonts w:cs="Arial"/>
              </w:rPr>
            </w:pPr>
          </w:p>
        </w:tc>
      </w:tr>
    </w:tbl>
    <w:p w:rsidR="0023669A" w:rsidRPr="001513BC" w:rsidRDefault="0023669A">
      <w:pPr>
        <w:jc w:val="left"/>
        <w:rPr>
          <w:rFonts w:cs="Arial"/>
        </w:rPr>
      </w:pPr>
    </w:p>
    <w:p w:rsidR="0023669A" w:rsidRPr="001513BC" w:rsidRDefault="0023669A">
      <w:pPr>
        <w:jc w:val="center"/>
        <w:rPr>
          <w:rFonts w:cs="Arial"/>
        </w:rPr>
      </w:pPr>
      <w:r w:rsidRPr="001513BC">
        <w:rPr>
          <w:rFonts w:cs="Arial"/>
        </w:rPr>
        <w:t>---</w:t>
      </w:r>
    </w:p>
    <w:p w:rsidR="0023669A" w:rsidRPr="001513BC" w:rsidRDefault="0023669A">
      <w:pPr>
        <w:rPr>
          <w:rFonts w:cs="Arial"/>
        </w:rPr>
      </w:pPr>
    </w:p>
    <w:tbl>
      <w:tblPr>
        <w:tblW w:w="10008" w:type="dxa"/>
        <w:tblLayout w:type="fixed"/>
        <w:tblLook w:val="0000" w:firstRow="0" w:lastRow="0" w:firstColumn="0" w:lastColumn="0" w:noHBand="0" w:noVBand="0"/>
      </w:tblPr>
      <w:tblGrid>
        <w:gridCol w:w="3652"/>
        <w:gridCol w:w="3026"/>
        <w:gridCol w:w="3330"/>
      </w:tblGrid>
      <w:tr w:rsidR="001513BC" w:rsidRPr="001513BC" w:rsidTr="00B84301">
        <w:tc>
          <w:tcPr>
            <w:tcW w:w="3652" w:type="dxa"/>
          </w:tcPr>
          <w:p w:rsidR="0023669A" w:rsidRPr="001513BC" w:rsidRDefault="0023669A">
            <w:pPr>
              <w:spacing w:after="120"/>
              <w:jc w:val="left"/>
              <w:rPr>
                <w:rFonts w:cs="Arial"/>
                <w:caps/>
                <w:sz w:val="22"/>
                <w:szCs w:val="22"/>
              </w:rPr>
            </w:pPr>
            <w:r w:rsidRPr="001513BC">
              <w:rPr>
                <w:rFonts w:cs="Arial"/>
                <w:caps/>
                <w:sz w:val="22"/>
                <w:szCs w:val="22"/>
                <w:u w:val="single"/>
              </w:rPr>
              <w:t>JUDGE</w:t>
            </w:r>
            <w:r w:rsidRPr="001513BC">
              <w:rPr>
                <w:rFonts w:cs="Arial"/>
                <w:caps/>
                <w:sz w:val="22"/>
                <w:szCs w:val="22"/>
              </w:rPr>
              <w:t>:</w:t>
            </w:r>
          </w:p>
        </w:tc>
        <w:tc>
          <w:tcPr>
            <w:tcW w:w="6356" w:type="dxa"/>
            <w:gridSpan w:val="2"/>
          </w:tcPr>
          <w:p w:rsidR="0023669A" w:rsidRPr="001513BC" w:rsidRDefault="00BF482E">
            <w:pPr>
              <w:spacing w:after="120"/>
              <w:rPr>
                <w:rFonts w:cs="Arial"/>
              </w:rPr>
            </w:pPr>
            <w:bookmarkStart w:id="11" w:name="COVjud"/>
            <w:bookmarkEnd w:id="11"/>
            <w:r w:rsidRPr="001513BC">
              <w:rPr>
                <w:rFonts w:cs="Arial"/>
              </w:rPr>
              <w:t>Her Honour Judge Hampel</w:t>
            </w:r>
          </w:p>
        </w:tc>
      </w:tr>
      <w:tr w:rsidR="001513BC" w:rsidRPr="001513BC" w:rsidTr="00B84301">
        <w:tc>
          <w:tcPr>
            <w:tcW w:w="3652" w:type="dxa"/>
          </w:tcPr>
          <w:p w:rsidR="0023669A" w:rsidRPr="001513BC" w:rsidRDefault="0023669A">
            <w:pPr>
              <w:spacing w:after="120"/>
              <w:jc w:val="left"/>
              <w:rPr>
                <w:rFonts w:cs="Arial"/>
                <w:sz w:val="22"/>
                <w:szCs w:val="22"/>
              </w:rPr>
            </w:pPr>
            <w:r w:rsidRPr="001513BC">
              <w:rPr>
                <w:rFonts w:cs="Arial"/>
                <w:sz w:val="22"/>
                <w:szCs w:val="22"/>
                <w:u w:val="single"/>
              </w:rPr>
              <w:t>WHERE HELD</w:t>
            </w:r>
            <w:r w:rsidRPr="001513BC">
              <w:rPr>
                <w:rFonts w:cs="Arial"/>
                <w:sz w:val="22"/>
                <w:szCs w:val="22"/>
              </w:rPr>
              <w:t>:</w:t>
            </w:r>
          </w:p>
        </w:tc>
        <w:tc>
          <w:tcPr>
            <w:tcW w:w="6356" w:type="dxa"/>
            <w:gridSpan w:val="2"/>
          </w:tcPr>
          <w:p w:rsidR="0023669A" w:rsidRPr="001513BC" w:rsidRDefault="00960E39" w:rsidP="00960E39">
            <w:pPr>
              <w:spacing w:after="120"/>
              <w:rPr>
                <w:rFonts w:cs="Arial"/>
              </w:rPr>
            </w:pPr>
            <w:bookmarkStart w:id="12" w:name="WhereHeld"/>
            <w:bookmarkEnd w:id="12"/>
            <w:r w:rsidRPr="001513BC">
              <w:rPr>
                <w:rFonts w:cs="Arial"/>
              </w:rPr>
              <w:t>Geelong</w:t>
            </w:r>
          </w:p>
        </w:tc>
      </w:tr>
      <w:tr w:rsidR="001513BC" w:rsidRPr="001513BC" w:rsidTr="00B84301">
        <w:tc>
          <w:tcPr>
            <w:tcW w:w="3652" w:type="dxa"/>
          </w:tcPr>
          <w:p w:rsidR="0023669A" w:rsidRPr="001513BC" w:rsidRDefault="0023669A">
            <w:pPr>
              <w:spacing w:after="120"/>
              <w:jc w:val="left"/>
              <w:rPr>
                <w:rFonts w:cs="Arial"/>
                <w:sz w:val="22"/>
                <w:szCs w:val="22"/>
              </w:rPr>
            </w:pPr>
            <w:r w:rsidRPr="001513BC">
              <w:rPr>
                <w:rFonts w:cs="Arial"/>
                <w:sz w:val="22"/>
                <w:szCs w:val="22"/>
                <w:u w:val="single"/>
              </w:rPr>
              <w:t>DATE OF HEARING</w:t>
            </w:r>
            <w:r w:rsidRPr="001513BC">
              <w:rPr>
                <w:rFonts w:cs="Arial"/>
                <w:sz w:val="22"/>
                <w:szCs w:val="22"/>
              </w:rPr>
              <w:t>:</w:t>
            </w:r>
          </w:p>
        </w:tc>
        <w:tc>
          <w:tcPr>
            <w:tcW w:w="6356" w:type="dxa"/>
            <w:gridSpan w:val="2"/>
          </w:tcPr>
          <w:p w:rsidR="0023669A" w:rsidRPr="001513BC" w:rsidRDefault="00AF7B58" w:rsidP="00BA52C3">
            <w:pPr>
              <w:rPr>
                <w:rFonts w:cs="Arial"/>
              </w:rPr>
            </w:pPr>
            <w:bookmarkStart w:id="13" w:name="COVdoh"/>
            <w:bookmarkEnd w:id="13"/>
            <w:r w:rsidRPr="001513BC">
              <w:rPr>
                <w:rFonts w:cs="Arial"/>
              </w:rPr>
              <w:t xml:space="preserve">3 </w:t>
            </w:r>
            <w:r w:rsidR="00BA52C3" w:rsidRPr="001513BC">
              <w:rPr>
                <w:rFonts w:cs="Arial"/>
              </w:rPr>
              <w:t>June</w:t>
            </w:r>
            <w:r w:rsidRPr="001513BC">
              <w:rPr>
                <w:rFonts w:cs="Arial"/>
              </w:rPr>
              <w:t xml:space="preserve"> </w:t>
            </w:r>
            <w:r w:rsidR="003F0074" w:rsidRPr="001513BC">
              <w:rPr>
                <w:rFonts w:cs="Arial"/>
              </w:rPr>
              <w:t>2017</w:t>
            </w:r>
            <w:r w:rsidR="0023669A" w:rsidRPr="001513BC">
              <w:rPr>
                <w:rFonts w:cs="Arial"/>
              </w:rPr>
              <w:fldChar w:fldCharType="begin"/>
            </w:r>
            <w:r w:rsidR="0023669A" w:rsidRPr="001513BC">
              <w:rPr>
                <w:rFonts w:cs="Arial"/>
              </w:rPr>
              <w:instrText xml:space="preserve">  </w:instrText>
            </w:r>
            <w:r w:rsidR="0023669A" w:rsidRPr="001513BC">
              <w:rPr>
                <w:rFonts w:cs="Arial"/>
              </w:rPr>
              <w:fldChar w:fldCharType="end"/>
            </w:r>
          </w:p>
        </w:tc>
      </w:tr>
      <w:tr w:rsidR="001513BC" w:rsidRPr="001513BC" w:rsidTr="00B84301">
        <w:tc>
          <w:tcPr>
            <w:tcW w:w="3652" w:type="dxa"/>
          </w:tcPr>
          <w:p w:rsidR="0023669A" w:rsidRPr="001513BC" w:rsidRDefault="0023669A" w:rsidP="003159B9">
            <w:pPr>
              <w:spacing w:after="120"/>
              <w:jc w:val="left"/>
              <w:rPr>
                <w:rFonts w:cs="Arial"/>
                <w:sz w:val="22"/>
                <w:szCs w:val="22"/>
                <w:u w:val="single"/>
              </w:rPr>
            </w:pPr>
            <w:r w:rsidRPr="001513BC">
              <w:rPr>
                <w:rFonts w:cs="Arial"/>
                <w:sz w:val="22"/>
                <w:szCs w:val="22"/>
                <w:u w:val="single"/>
              </w:rPr>
              <w:t xml:space="preserve">DATE OF </w:t>
            </w:r>
            <w:bookmarkStart w:id="14" w:name="DELs1"/>
            <w:r w:rsidRPr="001513BC">
              <w:rPr>
                <w:rFonts w:cs="Arial"/>
                <w:sz w:val="22"/>
                <w:szCs w:val="22"/>
                <w:u w:val="single"/>
              </w:rPr>
              <w:t>SENTENCE</w:t>
            </w:r>
            <w:bookmarkEnd w:id="14"/>
            <w:r w:rsidRPr="001513BC">
              <w:rPr>
                <w:rFonts w:cs="Arial"/>
                <w:sz w:val="22"/>
                <w:szCs w:val="22"/>
              </w:rPr>
              <w:t>:</w:t>
            </w:r>
          </w:p>
        </w:tc>
        <w:tc>
          <w:tcPr>
            <w:tcW w:w="6356" w:type="dxa"/>
            <w:gridSpan w:val="2"/>
          </w:tcPr>
          <w:p w:rsidR="0023669A" w:rsidRPr="001513BC" w:rsidRDefault="00AF7B58" w:rsidP="00AF7B58">
            <w:pPr>
              <w:spacing w:after="120"/>
              <w:rPr>
                <w:rFonts w:cs="Arial"/>
              </w:rPr>
            </w:pPr>
            <w:bookmarkStart w:id="15" w:name="COVdoj"/>
            <w:bookmarkEnd w:id="15"/>
            <w:r w:rsidRPr="001513BC">
              <w:rPr>
                <w:rFonts w:cs="Arial"/>
              </w:rPr>
              <w:t>30</w:t>
            </w:r>
            <w:r w:rsidR="00BF482E" w:rsidRPr="001513BC">
              <w:rPr>
                <w:rFonts w:cs="Arial"/>
              </w:rPr>
              <w:t xml:space="preserve"> </w:t>
            </w:r>
            <w:r w:rsidRPr="001513BC">
              <w:rPr>
                <w:rFonts w:cs="Arial"/>
              </w:rPr>
              <w:t>June</w:t>
            </w:r>
            <w:r w:rsidR="00BF482E" w:rsidRPr="001513BC">
              <w:rPr>
                <w:rFonts w:cs="Arial"/>
              </w:rPr>
              <w:t xml:space="preserve"> 2017</w:t>
            </w:r>
            <w:r w:rsidR="0023669A" w:rsidRPr="001513BC">
              <w:rPr>
                <w:rFonts w:cs="Arial"/>
              </w:rPr>
              <w:fldChar w:fldCharType="begin"/>
            </w:r>
            <w:r w:rsidR="0023669A" w:rsidRPr="001513BC">
              <w:rPr>
                <w:rFonts w:cs="Arial"/>
              </w:rPr>
              <w:instrText xml:space="preserve">  </w:instrText>
            </w:r>
            <w:r w:rsidR="0023669A" w:rsidRPr="001513BC">
              <w:rPr>
                <w:rFonts w:cs="Arial"/>
              </w:rPr>
              <w:fldChar w:fldCharType="end"/>
            </w:r>
          </w:p>
        </w:tc>
      </w:tr>
      <w:tr w:rsidR="001513BC" w:rsidRPr="001513BC" w:rsidTr="00B84301">
        <w:tc>
          <w:tcPr>
            <w:tcW w:w="3652" w:type="dxa"/>
          </w:tcPr>
          <w:p w:rsidR="0023669A" w:rsidRPr="001513BC" w:rsidRDefault="0023669A">
            <w:pPr>
              <w:spacing w:after="120"/>
              <w:jc w:val="left"/>
              <w:rPr>
                <w:rFonts w:cs="Arial"/>
                <w:sz w:val="22"/>
                <w:szCs w:val="22"/>
                <w:u w:val="single"/>
              </w:rPr>
            </w:pPr>
            <w:r w:rsidRPr="001513BC">
              <w:rPr>
                <w:rFonts w:cs="Arial"/>
                <w:sz w:val="22"/>
                <w:szCs w:val="22"/>
                <w:u w:val="single"/>
              </w:rPr>
              <w:t>CASE MAY BE CITED AS</w:t>
            </w:r>
            <w:r w:rsidRPr="001513BC">
              <w:rPr>
                <w:rFonts w:cs="Arial"/>
                <w:sz w:val="22"/>
                <w:szCs w:val="22"/>
              </w:rPr>
              <w:t>:</w:t>
            </w:r>
          </w:p>
        </w:tc>
        <w:tc>
          <w:tcPr>
            <w:tcW w:w="6356" w:type="dxa"/>
            <w:gridSpan w:val="2"/>
          </w:tcPr>
          <w:p w:rsidR="0023669A" w:rsidRPr="001513BC" w:rsidRDefault="0080311D">
            <w:pPr>
              <w:spacing w:after="120"/>
              <w:rPr>
                <w:rFonts w:cs="Arial"/>
              </w:rPr>
            </w:pPr>
            <w:bookmarkStart w:id="16" w:name="COVcaseCited"/>
            <w:bookmarkEnd w:id="16"/>
            <w:r w:rsidRPr="001513BC">
              <w:rPr>
                <w:rFonts w:cs="Arial"/>
              </w:rPr>
              <w:t>C</w:t>
            </w:r>
            <w:r w:rsidR="00BF482E" w:rsidRPr="001513BC">
              <w:rPr>
                <w:rFonts w:cs="Arial"/>
              </w:rPr>
              <w:t xml:space="preserve">DPP v </w:t>
            </w:r>
            <w:r w:rsidR="00BA52C3" w:rsidRPr="001513BC">
              <w:rPr>
                <w:rFonts w:cs="Arial"/>
              </w:rPr>
              <w:t>Cernagoj</w:t>
            </w:r>
          </w:p>
        </w:tc>
      </w:tr>
      <w:tr w:rsidR="001513BC" w:rsidRPr="001513BC" w:rsidTr="00B84301">
        <w:trPr>
          <w:cantSplit/>
        </w:trPr>
        <w:tc>
          <w:tcPr>
            <w:tcW w:w="3652" w:type="dxa"/>
          </w:tcPr>
          <w:p w:rsidR="002E699C" w:rsidRPr="001513BC" w:rsidRDefault="002E699C" w:rsidP="004908F8">
            <w:pPr>
              <w:spacing w:after="120"/>
              <w:jc w:val="left"/>
              <w:rPr>
                <w:sz w:val="22"/>
                <w:szCs w:val="22"/>
                <w:u w:val="single"/>
              </w:rPr>
            </w:pPr>
            <w:bookmarkStart w:id="17" w:name="VSCyearDate"/>
            <w:r w:rsidRPr="001513BC">
              <w:rPr>
                <w:sz w:val="22"/>
                <w:szCs w:val="22"/>
                <w:u w:val="single"/>
              </w:rPr>
              <w:t>MEDIUM NEUTRAL CITATION</w:t>
            </w:r>
            <w:r w:rsidRPr="001513BC">
              <w:rPr>
                <w:sz w:val="22"/>
                <w:szCs w:val="22"/>
              </w:rPr>
              <w:t>:</w:t>
            </w:r>
          </w:p>
        </w:tc>
        <w:tc>
          <w:tcPr>
            <w:tcW w:w="3026" w:type="dxa"/>
          </w:tcPr>
          <w:p w:rsidR="002E699C" w:rsidRPr="001513BC" w:rsidRDefault="002E699C" w:rsidP="00AF7B58">
            <w:pPr>
              <w:spacing w:after="120"/>
            </w:pPr>
            <w:r w:rsidRPr="001513BC">
              <w:t>[</w:t>
            </w:r>
            <w:r w:rsidR="003D5179" w:rsidRPr="001513BC">
              <w:t>20</w:t>
            </w:r>
            <w:r w:rsidR="00BF482E" w:rsidRPr="001513BC">
              <w:t>17</w:t>
            </w:r>
            <w:r w:rsidRPr="001513BC">
              <w:t xml:space="preserve">] VCC </w:t>
            </w:r>
            <w:bookmarkStart w:id="18" w:name="COVvcc"/>
            <w:bookmarkEnd w:id="18"/>
            <w:r w:rsidR="00AF7B58" w:rsidRPr="001513BC">
              <w:t>MNM</w:t>
            </w:r>
          </w:p>
        </w:tc>
        <w:tc>
          <w:tcPr>
            <w:tcW w:w="3330" w:type="dxa"/>
          </w:tcPr>
          <w:p w:rsidR="002E699C" w:rsidRPr="001513BC" w:rsidRDefault="002E699C" w:rsidP="004908F8">
            <w:pPr>
              <w:spacing w:after="120"/>
            </w:pPr>
          </w:p>
        </w:tc>
      </w:tr>
      <w:bookmarkEnd w:id="17"/>
    </w:tbl>
    <w:p w:rsidR="00DF39F2" w:rsidRPr="001513BC" w:rsidRDefault="00DF39F2">
      <w:pPr>
        <w:rPr>
          <w:rFonts w:cs="Arial"/>
        </w:rPr>
      </w:pPr>
    </w:p>
    <w:p w:rsidR="00DF39F2" w:rsidRPr="001513BC" w:rsidRDefault="006E6CE7" w:rsidP="00B84301">
      <w:pPr>
        <w:jc w:val="center"/>
        <w:rPr>
          <w:rFonts w:cs="Arial"/>
          <w:b/>
        </w:rPr>
      </w:pPr>
      <w:r w:rsidRPr="001513BC">
        <w:rPr>
          <w:rFonts w:cs="Arial"/>
          <w:b/>
        </w:rPr>
        <w:t xml:space="preserve">REASONS FOR </w:t>
      </w:r>
      <w:bookmarkStart w:id="19" w:name="DELS3"/>
      <w:r w:rsidRPr="001513BC">
        <w:rPr>
          <w:rFonts w:cs="Arial"/>
          <w:b/>
        </w:rPr>
        <w:t>SENTENCE</w:t>
      </w:r>
      <w:bookmarkEnd w:id="19"/>
    </w:p>
    <w:p w:rsidR="0023669A" w:rsidRPr="001513BC" w:rsidRDefault="0023669A">
      <w:pPr>
        <w:jc w:val="center"/>
        <w:rPr>
          <w:rFonts w:cs="Arial"/>
        </w:rPr>
      </w:pPr>
      <w:r w:rsidRPr="001513BC">
        <w:rPr>
          <w:rFonts w:cs="Arial"/>
        </w:rPr>
        <w:t>---</w:t>
      </w:r>
    </w:p>
    <w:p w:rsidR="0023669A" w:rsidRPr="001513BC" w:rsidRDefault="00C22643">
      <w:pPr>
        <w:pStyle w:val="Catchwords"/>
        <w:rPr>
          <w:rFonts w:cs="Arial"/>
        </w:rPr>
      </w:pPr>
      <w:r w:rsidRPr="001513BC">
        <w:rPr>
          <w:rFonts w:cs="Arial"/>
        </w:rPr>
        <w:fldChar w:fldCharType="begin"/>
      </w:r>
      <w:r w:rsidRPr="001513BC">
        <w:rPr>
          <w:rFonts w:cs="Arial"/>
        </w:rPr>
        <w:instrText xml:space="preserve">  </w:instrText>
      </w:r>
      <w:r w:rsidRPr="001513BC">
        <w:rPr>
          <w:rFonts w:cs="Arial"/>
        </w:rPr>
        <w:fldChar w:fldCharType="end"/>
      </w:r>
    </w:p>
    <w:p w:rsidR="003212DE" w:rsidRPr="001513BC" w:rsidRDefault="003212DE" w:rsidP="00EC7431">
      <w:pPr>
        <w:rPr>
          <w:rFonts w:cs="Arial"/>
        </w:rPr>
      </w:pPr>
      <w:r w:rsidRPr="001513BC">
        <w:rPr>
          <w:rFonts w:cs="Arial"/>
        </w:rPr>
        <w:t>Subject:</w:t>
      </w:r>
      <w:r w:rsidRPr="001513BC">
        <w:rPr>
          <w:rFonts w:cs="Arial"/>
        </w:rPr>
        <w:tab/>
      </w:r>
      <w:r w:rsidRPr="001513BC">
        <w:rPr>
          <w:rFonts w:cs="Arial"/>
        </w:rPr>
        <w:tab/>
      </w:r>
    </w:p>
    <w:p w:rsidR="00EC7431" w:rsidRPr="001513BC" w:rsidRDefault="0023669A" w:rsidP="00EC7431">
      <w:r w:rsidRPr="001513BC">
        <w:rPr>
          <w:rFonts w:cs="Arial"/>
        </w:rPr>
        <w:t xml:space="preserve">Catchwords: </w:t>
      </w:r>
      <w:r w:rsidR="00CE101A" w:rsidRPr="001513BC">
        <w:rPr>
          <w:rFonts w:cs="Arial"/>
        </w:rPr>
        <w:tab/>
      </w:r>
      <w:r w:rsidR="003212DE" w:rsidRPr="001513BC">
        <w:rPr>
          <w:rFonts w:cs="Arial"/>
        </w:rPr>
        <w:tab/>
      </w:r>
    </w:p>
    <w:p w:rsidR="007679D4" w:rsidRPr="001513BC" w:rsidRDefault="003212DE" w:rsidP="00EC7431">
      <w:r w:rsidRPr="001513BC">
        <w:t>Legislation Cited:</w:t>
      </w:r>
      <w:r w:rsidRPr="001513BC">
        <w:tab/>
      </w:r>
    </w:p>
    <w:p w:rsidR="003212DE" w:rsidRPr="001513BC" w:rsidRDefault="003212DE" w:rsidP="00EC7431">
      <w:r w:rsidRPr="001513BC">
        <w:t>Cases Cited:</w:t>
      </w:r>
      <w:r w:rsidRPr="001513BC">
        <w:tab/>
      </w:r>
      <w:r w:rsidRPr="001513BC">
        <w:tab/>
      </w:r>
    </w:p>
    <w:p w:rsidR="007679D4" w:rsidRPr="001513BC" w:rsidRDefault="00C22643" w:rsidP="00EC7431">
      <w:bookmarkStart w:id="20" w:name="Dels2"/>
      <w:r w:rsidRPr="001513BC">
        <w:t>Sentence</w:t>
      </w:r>
      <w:bookmarkEnd w:id="20"/>
      <w:r w:rsidR="003212DE" w:rsidRPr="001513BC">
        <w:t>:</w:t>
      </w:r>
      <w:r w:rsidR="003212DE" w:rsidRPr="001513BC">
        <w:tab/>
      </w:r>
      <w:r w:rsidR="00033142" w:rsidRPr="001513BC">
        <w:tab/>
      </w:r>
    </w:p>
    <w:p w:rsidR="007679D4" w:rsidRPr="001513BC" w:rsidRDefault="007679D4" w:rsidP="00EC7431">
      <w:pPr>
        <w:rPr>
          <w:rFonts w:cs="Arial"/>
        </w:rPr>
      </w:pPr>
    </w:p>
    <w:p w:rsidR="0023669A" w:rsidRPr="001513BC" w:rsidRDefault="0023669A">
      <w:pPr>
        <w:jc w:val="center"/>
        <w:rPr>
          <w:rFonts w:cs="Arial"/>
        </w:rPr>
      </w:pPr>
      <w:r w:rsidRPr="001513BC">
        <w:rPr>
          <w:rFonts w:cs="Arial"/>
        </w:rPr>
        <w:t>---</w:t>
      </w:r>
    </w:p>
    <w:p w:rsidR="0023669A" w:rsidRPr="001513BC" w:rsidRDefault="0023669A">
      <w:pPr>
        <w:rPr>
          <w:rFonts w:cs="Arial"/>
        </w:rPr>
      </w:pPr>
    </w:p>
    <w:tbl>
      <w:tblPr>
        <w:tblW w:w="10008" w:type="dxa"/>
        <w:tblLayout w:type="fixed"/>
        <w:tblLook w:val="0000" w:firstRow="0" w:lastRow="0" w:firstColumn="0" w:lastColumn="0" w:noHBand="0" w:noVBand="0"/>
      </w:tblPr>
      <w:tblGrid>
        <w:gridCol w:w="3708"/>
        <w:gridCol w:w="2964"/>
        <w:gridCol w:w="3336"/>
      </w:tblGrid>
      <w:tr w:rsidR="001513BC" w:rsidRPr="001513BC" w:rsidTr="00224531">
        <w:tc>
          <w:tcPr>
            <w:tcW w:w="3708" w:type="dxa"/>
          </w:tcPr>
          <w:p w:rsidR="0023669A" w:rsidRPr="001513BC" w:rsidRDefault="0023669A">
            <w:pPr>
              <w:jc w:val="left"/>
              <w:rPr>
                <w:rFonts w:cs="Arial"/>
              </w:rPr>
            </w:pPr>
            <w:r w:rsidRPr="001513BC">
              <w:rPr>
                <w:rFonts w:cs="Arial"/>
                <w:u w:val="single"/>
              </w:rPr>
              <w:t>APPEARANCES</w:t>
            </w:r>
            <w:r w:rsidRPr="001513BC">
              <w:rPr>
                <w:rFonts w:cs="Arial"/>
              </w:rPr>
              <w:t>:</w:t>
            </w:r>
          </w:p>
          <w:p w:rsidR="0023669A" w:rsidRPr="001513BC" w:rsidRDefault="0023669A">
            <w:pPr>
              <w:jc w:val="left"/>
              <w:rPr>
                <w:rFonts w:cs="Arial"/>
              </w:rPr>
            </w:pPr>
          </w:p>
        </w:tc>
        <w:tc>
          <w:tcPr>
            <w:tcW w:w="2964" w:type="dxa"/>
          </w:tcPr>
          <w:p w:rsidR="0023669A" w:rsidRPr="001513BC" w:rsidRDefault="0023669A">
            <w:pPr>
              <w:rPr>
                <w:rFonts w:cs="Arial"/>
              </w:rPr>
            </w:pPr>
            <w:r w:rsidRPr="001513BC">
              <w:rPr>
                <w:rFonts w:cs="Arial"/>
                <w:u w:val="single"/>
              </w:rPr>
              <w:t>Counsel</w:t>
            </w:r>
          </w:p>
        </w:tc>
        <w:tc>
          <w:tcPr>
            <w:tcW w:w="3336" w:type="dxa"/>
          </w:tcPr>
          <w:p w:rsidR="0023669A" w:rsidRPr="001513BC" w:rsidRDefault="0023669A">
            <w:pPr>
              <w:rPr>
                <w:rFonts w:cs="Arial"/>
              </w:rPr>
            </w:pPr>
            <w:r w:rsidRPr="001513BC">
              <w:rPr>
                <w:rFonts w:cs="Arial"/>
                <w:u w:val="single"/>
              </w:rPr>
              <w:t>Solicitors</w:t>
            </w:r>
          </w:p>
        </w:tc>
      </w:tr>
      <w:tr w:rsidR="001513BC" w:rsidRPr="001513BC" w:rsidTr="00224531">
        <w:tc>
          <w:tcPr>
            <w:tcW w:w="3708" w:type="dxa"/>
          </w:tcPr>
          <w:p w:rsidR="0023669A" w:rsidRPr="001513BC" w:rsidRDefault="0023669A" w:rsidP="003159B9">
            <w:pPr>
              <w:jc w:val="left"/>
              <w:rPr>
                <w:rFonts w:cs="Arial"/>
                <w:u w:val="single"/>
              </w:rPr>
            </w:pPr>
            <w:r w:rsidRPr="001513BC">
              <w:rPr>
                <w:rFonts w:cs="Arial"/>
              </w:rPr>
              <w:t xml:space="preserve">For the </w:t>
            </w:r>
            <w:r w:rsidR="00BF482E" w:rsidRPr="001513BC">
              <w:rPr>
                <w:rFonts w:cs="Arial"/>
              </w:rPr>
              <w:t>DPP</w:t>
            </w:r>
          </w:p>
        </w:tc>
        <w:tc>
          <w:tcPr>
            <w:tcW w:w="2964" w:type="dxa"/>
          </w:tcPr>
          <w:p w:rsidR="0023669A" w:rsidRPr="001513BC" w:rsidRDefault="00AF7B58">
            <w:pPr>
              <w:rPr>
                <w:rFonts w:cs="Arial"/>
              </w:rPr>
            </w:pPr>
            <w:r w:rsidRPr="001513BC">
              <w:rPr>
                <w:rFonts w:cs="Arial"/>
              </w:rPr>
              <w:t>Ms M</w:t>
            </w:r>
            <w:r w:rsidR="00BF482E" w:rsidRPr="001513BC">
              <w:rPr>
                <w:rFonts w:cs="Arial"/>
              </w:rPr>
              <w:t xml:space="preserve">. </w:t>
            </w:r>
            <w:r w:rsidR="00EC494C" w:rsidRPr="001513BC">
              <w:rPr>
                <w:rFonts w:cs="Arial"/>
              </w:rPr>
              <w:t>Obama</w:t>
            </w:r>
          </w:p>
          <w:p w:rsidR="00217707" w:rsidRPr="001513BC" w:rsidRDefault="00217707">
            <w:pPr>
              <w:rPr>
                <w:rFonts w:cs="Arial"/>
              </w:rPr>
            </w:pPr>
          </w:p>
        </w:tc>
        <w:tc>
          <w:tcPr>
            <w:tcW w:w="3336" w:type="dxa"/>
          </w:tcPr>
          <w:p w:rsidR="0023669A" w:rsidRPr="001513BC" w:rsidRDefault="003F0074">
            <w:pPr>
              <w:jc w:val="left"/>
              <w:rPr>
                <w:rFonts w:cs="Arial"/>
              </w:rPr>
            </w:pPr>
            <w:r w:rsidRPr="001513BC">
              <w:rPr>
                <w:rFonts w:cs="Arial"/>
              </w:rPr>
              <w:t>Commonwealth Director of Public Prosecutions</w:t>
            </w:r>
          </w:p>
        </w:tc>
      </w:tr>
      <w:tr w:rsidR="001513BC" w:rsidRPr="001513BC" w:rsidTr="00224531">
        <w:tc>
          <w:tcPr>
            <w:tcW w:w="3708" w:type="dxa"/>
          </w:tcPr>
          <w:p w:rsidR="0023669A" w:rsidRPr="001513BC" w:rsidRDefault="0023669A">
            <w:pPr>
              <w:spacing w:line="240" w:lineRule="auto"/>
              <w:jc w:val="left"/>
              <w:rPr>
                <w:rFonts w:cs="Arial"/>
              </w:rPr>
            </w:pPr>
          </w:p>
        </w:tc>
        <w:tc>
          <w:tcPr>
            <w:tcW w:w="2964" w:type="dxa"/>
          </w:tcPr>
          <w:p w:rsidR="0023669A" w:rsidRPr="001513BC" w:rsidRDefault="0023669A">
            <w:pPr>
              <w:spacing w:line="240" w:lineRule="auto"/>
              <w:rPr>
                <w:rFonts w:cs="Arial"/>
              </w:rPr>
            </w:pPr>
          </w:p>
        </w:tc>
        <w:tc>
          <w:tcPr>
            <w:tcW w:w="3336" w:type="dxa"/>
          </w:tcPr>
          <w:p w:rsidR="0023669A" w:rsidRPr="001513BC" w:rsidRDefault="0023669A">
            <w:pPr>
              <w:spacing w:line="240" w:lineRule="auto"/>
              <w:rPr>
                <w:rFonts w:cs="Arial"/>
              </w:rPr>
            </w:pPr>
          </w:p>
        </w:tc>
      </w:tr>
      <w:tr w:rsidR="001513BC" w:rsidRPr="001513BC" w:rsidTr="00224531">
        <w:tc>
          <w:tcPr>
            <w:tcW w:w="3708" w:type="dxa"/>
          </w:tcPr>
          <w:p w:rsidR="0023669A" w:rsidRPr="001513BC" w:rsidRDefault="0023669A" w:rsidP="003159B9">
            <w:pPr>
              <w:jc w:val="left"/>
              <w:rPr>
                <w:rFonts w:cs="Arial"/>
                <w:u w:val="single"/>
              </w:rPr>
            </w:pPr>
            <w:r w:rsidRPr="001513BC">
              <w:rPr>
                <w:rFonts w:cs="Arial"/>
              </w:rPr>
              <w:t xml:space="preserve">For the </w:t>
            </w:r>
            <w:r w:rsidR="003159B9" w:rsidRPr="001513BC">
              <w:rPr>
                <w:rFonts w:cs="Arial"/>
              </w:rPr>
              <w:t>Accused</w:t>
            </w:r>
          </w:p>
        </w:tc>
        <w:tc>
          <w:tcPr>
            <w:tcW w:w="2964" w:type="dxa"/>
          </w:tcPr>
          <w:p w:rsidR="0023669A" w:rsidRPr="001513BC" w:rsidRDefault="00217707" w:rsidP="00AF7B58">
            <w:pPr>
              <w:jc w:val="left"/>
              <w:rPr>
                <w:rFonts w:cs="Arial"/>
              </w:rPr>
            </w:pPr>
            <w:r w:rsidRPr="001513BC">
              <w:rPr>
                <w:rFonts w:cs="Arial"/>
              </w:rPr>
              <w:t>M</w:t>
            </w:r>
            <w:r w:rsidR="00AF7B58" w:rsidRPr="001513BC">
              <w:rPr>
                <w:rFonts w:cs="Arial"/>
              </w:rPr>
              <w:t>s</w:t>
            </w:r>
            <w:r w:rsidRPr="001513BC">
              <w:rPr>
                <w:rFonts w:cs="Arial"/>
              </w:rPr>
              <w:t xml:space="preserve"> C. </w:t>
            </w:r>
            <w:r w:rsidR="00AF7B58" w:rsidRPr="001513BC">
              <w:rPr>
                <w:rFonts w:cs="Arial"/>
              </w:rPr>
              <w:t xml:space="preserve">Swan </w:t>
            </w:r>
          </w:p>
        </w:tc>
        <w:tc>
          <w:tcPr>
            <w:tcW w:w="3336" w:type="dxa"/>
          </w:tcPr>
          <w:p w:rsidR="0023669A" w:rsidRPr="001513BC" w:rsidRDefault="00AF7B58">
            <w:pPr>
              <w:rPr>
                <w:rFonts w:cs="Arial"/>
              </w:rPr>
            </w:pPr>
            <w:r w:rsidRPr="001513BC">
              <w:rPr>
                <w:rFonts w:cs="Arial"/>
              </w:rPr>
              <w:t>Hooper</w:t>
            </w:r>
            <w:r w:rsidR="003F0074" w:rsidRPr="001513BC">
              <w:rPr>
                <w:rFonts w:cs="Arial"/>
              </w:rPr>
              <w:t xml:space="preserve"> Lawyers</w:t>
            </w:r>
          </w:p>
        </w:tc>
      </w:tr>
    </w:tbl>
    <w:p w:rsidR="001D312C" w:rsidRPr="001513BC" w:rsidRDefault="001D312C">
      <w:pPr>
        <w:tabs>
          <w:tab w:val="left" w:pos="1440"/>
        </w:tabs>
        <w:rPr>
          <w:rFonts w:cs="Arial"/>
          <w:u w:val="single"/>
          <w:lang w:val="en-US"/>
        </w:rPr>
      </w:pPr>
    </w:p>
    <w:p w:rsidR="0023669A" w:rsidRPr="001513BC" w:rsidRDefault="0023669A">
      <w:pPr>
        <w:tabs>
          <w:tab w:val="left" w:pos="1440"/>
        </w:tabs>
        <w:rPr>
          <w:rFonts w:cs="Arial"/>
          <w:u w:val="single"/>
          <w:lang w:val="en-US"/>
        </w:rPr>
        <w:sectPr w:rsidR="0023669A" w:rsidRPr="001513BC" w:rsidSect="000A3FB3">
          <w:headerReference w:type="even" r:id="rId8"/>
          <w:headerReference w:type="default" r:id="rId9"/>
          <w:footerReference w:type="even" r:id="rId10"/>
          <w:footerReference w:type="default" r:id="rId11"/>
          <w:headerReference w:type="first" r:id="rId12"/>
          <w:footerReference w:type="first" r:id="rId13"/>
          <w:pgSz w:w="11909" w:h="16834" w:code="9"/>
          <w:pgMar w:top="907" w:right="1140" w:bottom="1151" w:left="1009" w:header="709" w:footer="431" w:gutter="0"/>
          <w:pgNumType w:fmt="lowerRoman" w:start="1"/>
          <w:cols w:space="720"/>
        </w:sectPr>
      </w:pPr>
    </w:p>
    <w:bookmarkEnd w:id="0"/>
    <w:p w:rsidR="0023669A" w:rsidRPr="001513BC" w:rsidRDefault="0023669A">
      <w:pPr>
        <w:tabs>
          <w:tab w:val="left" w:pos="1440"/>
        </w:tabs>
        <w:rPr>
          <w:rFonts w:cs="Arial"/>
        </w:rPr>
      </w:pPr>
    </w:p>
    <w:p w:rsidR="0023669A" w:rsidRPr="001513BC" w:rsidRDefault="0023669A">
      <w:pPr>
        <w:tabs>
          <w:tab w:val="left" w:pos="1440"/>
        </w:tabs>
        <w:rPr>
          <w:rFonts w:cs="Arial"/>
        </w:rPr>
      </w:pPr>
      <w:bookmarkStart w:id="22" w:name="DELher"/>
      <w:r w:rsidRPr="001513BC">
        <w:rPr>
          <w:rFonts w:cs="Arial"/>
        </w:rPr>
        <w:t>HER</w:t>
      </w:r>
      <w:bookmarkEnd w:id="22"/>
      <w:r w:rsidRPr="001513BC">
        <w:rPr>
          <w:rFonts w:cs="Arial"/>
        </w:rPr>
        <w:t xml:space="preserve"> HONOUR:</w:t>
      </w:r>
    </w:p>
    <w:p w:rsidR="00C6223D" w:rsidRPr="001513BC" w:rsidRDefault="00C6223D" w:rsidP="00C6223D"/>
    <w:p w:rsidR="00137355" w:rsidRPr="001513BC" w:rsidRDefault="003159B9" w:rsidP="003E08DB">
      <w:pPr>
        <w:pStyle w:val="Heading1"/>
      </w:pPr>
      <w:r w:rsidRPr="001513BC">
        <w:t>The interception of packages containing methamphetamine</w:t>
      </w:r>
      <w:r w:rsidR="001D6EF7" w:rsidRPr="001513BC">
        <w:t>, amphetamine</w:t>
      </w:r>
      <w:r w:rsidR="006C55C8" w:rsidRPr="001513BC">
        <w:t xml:space="preserve"> and MDMA, ordered through the d</w:t>
      </w:r>
      <w:r w:rsidRPr="001513BC">
        <w:t>ark</w:t>
      </w:r>
      <w:r w:rsidR="001D6EF7" w:rsidRPr="001513BC">
        <w:t>web</w:t>
      </w:r>
      <w:r w:rsidR="006C55C8" w:rsidRPr="001513BC">
        <w:t xml:space="preserve"> </w:t>
      </w:r>
      <w:r w:rsidR="001D6EF7" w:rsidRPr="001513BC">
        <w:t>site Silk R</w:t>
      </w:r>
      <w:r w:rsidRPr="001513BC">
        <w:t>oad</w:t>
      </w:r>
      <w:r w:rsidR="001D6EF7" w:rsidRPr="001513BC">
        <w:t>,</w:t>
      </w:r>
      <w:r w:rsidRPr="001513BC">
        <w:t xml:space="preserve"> which had been p</w:t>
      </w:r>
      <w:r w:rsidR="006C55C8" w:rsidRPr="001513BC">
        <w:t xml:space="preserve">osted to two addresses in </w:t>
      </w:r>
      <w:r w:rsidR="00795681">
        <w:t>Manifold Heights</w:t>
      </w:r>
      <w:r w:rsidRPr="001513BC">
        <w:t xml:space="preserve"> and </w:t>
      </w:r>
      <w:r w:rsidR="00795681">
        <w:t xml:space="preserve">Rippleside </w:t>
      </w:r>
      <w:r w:rsidRPr="001513BC">
        <w:t>between June 2013 and February 2014</w:t>
      </w:r>
      <w:r w:rsidR="001D6EF7" w:rsidRPr="001513BC">
        <w:t>,</w:t>
      </w:r>
      <w:r w:rsidR="00B31D63" w:rsidRPr="001513BC">
        <w:t xml:space="preserve"> have led to you, </w:t>
      </w:r>
      <w:r w:rsidR="00BA52C3" w:rsidRPr="001513BC">
        <w:t>Armand Cernagoj</w:t>
      </w:r>
      <w:r w:rsidR="00795681">
        <w:t>,</w:t>
      </w:r>
      <w:r w:rsidR="00BA52C3" w:rsidRPr="001513BC">
        <w:rPr>
          <w:rStyle w:val="FootnoteReference"/>
        </w:rPr>
        <w:footnoteReference w:id="1"/>
      </w:r>
      <w:r w:rsidR="001D6EF7" w:rsidRPr="001513BC">
        <w:t xml:space="preserve"> plead</w:t>
      </w:r>
      <w:r w:rsidR="006C55C8" w:rsidRPr="001513BC">
        <w:t>ing</w:t>
      </w:r>
      <w:r w:rsidR="001D6EF7" w:rsidRPr="001513BC">
        <w:t xml:space="preserve"> guilty to two rolled-</w:t>
      </w:r>
      <w:r w:rsidRPr="001513BC">
        <w:t xml:space="preserve">up charges of importation of </w:t>
      </w:r>
      <w:r w:rsidR="00A22026" w:rsidRPr="001513BC">
        <w:t xml:space="preserve">a marketable quantity of </w:t>
      </w:r>
      <w:r w:rsidRPr="001513BC">
        <w:t>border controlled drugs</w:t>
      </w:r>
      <w:r w:rsidR="00A22026" w:rsidRPr="001513BC">
        <w:t xml:space="preserve">. </w:t>
      </w:r>
      <w:r w:rsidR="001D6EF7" w:rsidRPr="001513BC">
        <w:t xml:space="preserve"> </w:t>
      </w:r>
      <w:r w:rsidR="00A22026" w:rsidRPr="001513BC">
        <w:t xml:space="preserve">The police investigation conducted as a result of the interception of the parcels also led to you pleading guilty to one charge of trafficking </w:t>
      </w:r>
      <w:r w:rsidR="001D6EF7" w:rsidRPr="001513BC">
        <w:t>in a drug of dependence</w:t>
      </w:r>
      <w:r w:rsidR="00A22026" w:rsidRPr="001513BC">
        <w:t xml:space="preserve"> between May and November 2012.</w:t>
      </w:r>
    </w:p>
    <w:p w:rsidR="00A22026" w:rsidRPr="001513BC" w:rsidRDefault="00135C87" w:rsidP="003E08DB">
      <w:pPr>
        <w:pStyle w:val="Heading1"/>
      </w:pPr>
      <w:r w:rsidRPr="001513BC">
        <w:t>I have already sentenced a co-</w:t>
      </w:r>
      <w:r w:rsidR="00A22026" w:rsidRPr="001513BC">
        <w:t xml:space="preserve">offender, </w:t>
      </w:r>
      <w:r w:rsidR="00BA52C3" w:rsidRPr="001513BC">
        <w:t>Dejan Ciceli</w:t>
      </w:r>
      <w:r w:rsidR="00795681">
        <w:t>,</w:t>
      </w:r>
      <w:r w:rsidR="00BA52C3" w:rsidRPr="001513BC">
        <w:rPr>
          <w:rStyle w:val="FootnoteReference"/>
        </w:rPr>
        <w:footnoteReference w:id="2"/>
      </w:r>
      <w:r w:rsidR="00A22026" w:rsidRPr="001513BC">
        <w:t xml:space="preserve"> who agreed to allow you to direct the delivery of parcels of </w:t>
      </w:r>
      <w:r w:rsidR="00457B9C" w:rsidRPr="001513BC">
        <w:t>drugs ordered through</w:t>
      </w:r>
      <w:r w:rsidR="001D6EF7" w:rsidRPr="001513BC">
        <w:t xml:space="preserve"> Silk Road to his home address</w:t>
      </w:r>
      <w:r w:rsidR="00A22026" w:rsidRPr="001513BC">
        <w:t xml:space="preserve"> on a related charge.</w:t>
      </w:r>
    </w:p>
    <w:p w:rsidR="004E2FE5" w:rsidRPr="001513BC" w:rsidRDefault="004E2FE5" w:rsidP="00135C87">
      <w:pPr>
        <w:pStyle w:val="Heading1"/>
      </w:pPr>
      <w:r w:rsidRPr="001513BC">
        <w:t>The circumstances</w:t>
      </w:r>
      <w:r w:rsidR="001D6EF7" w:rsidRPr="001513BC">
        <w:t xml:space="preserve"> of the offending to which you have pleaded</w:t>
      </w:r>
      <w:r w:rsidRPr="001513BC">
        <w:t xml:space="preserve"> </w:t>
      </w:r>
      <w:r w:rsidR="001D6EF7" w:rsidRPr="001513BC">
        <w:t>guilty ar</w:t>
      </w:r>
      <w:r w:rsidRPr="001513BC">
        <w:t>e these</w:t>
      </w:r>
      <w:r w:rsidR="00135C87" w:rsidRPr="001513BC">
        <w:t xml:space="preserve">.  Shortly after meeting a man by the name of </w:t>
      </w:r>
      <w:r w:rsidR="00BA52C3" w:rsidRPr="001513BC">
        <w:t>Mitjan Kitek</w:t>
      </w:r>
      <w:r w:rsidR="00BA52C3" w:rsidRPr="001513BC">
        <w:rPr>
          <w:rStyle w:val="FootnoteReference"/>
        </w:rPr>
        <w:footnoteReference w:id="3"/>
      </w:r>
      <w:r w:rsidR="00135C87" w:rsidRPr="001513BC">
        <w:t xml:space="preserve"> in April or May 2012, you offered to sell him ice and he became a regular customer.  Between May and November 2012, you sold him a point of ice on about ten or 20 separate occasions.  He paid you $100 for each supply.  This forms the basis of </w:t>
      </w:r>
      <w:r w:rsidR="00135C87" w:rsidRPr="001513BC">
        <w:br/>
        <w:t>Charge 1, trafficking.</w:t>
      </w:r>
    </w:p>
    <w:p w:rsidR="0018164D" w:rsidRPr="001513BC" w:rsidRDefault="004E2FE5" w:rsidP="003E08DB">
      <w:pPr>
        <w:pStyle w:val="Heading1"/>
      </w:pPr>
      <w:r w:rsidRPr="001513BC">
        <w:t>During the time that you were supplying ice to M</w:t>
      </w:r>
      <w:r w:rsidR="00C077FF" w:rsidRPr="001513BC">
        <w:t xml:space="preserve">r </w:t>
      </w:r>
      <w:r w:rsidR="00BA52C3" w:rsidRPr="001513BC">
        <w:t>Kitek</w:t>
      </w:r>
      <w:r w:rsidR="0055775C" w:rsidRPr="001513BC">
        <w:t>, you told him that you we</w:t>
      </w:r>
      <w:r w:rsidRPr="001513BC">
        <w:t>re lookin</w:t>
      </w:r>
      <w:r w:rsidR="0055775C" w:rsidRPr="001513BC">
        <w:t>g to import drugs from overseas and having them posted to you.  You</w:t>
      </w:r>
      <w:r w:rsidRPr="001513BC">
        <w:t xml:space="preserve"> told him th</w:t>
      </w:r>
      <w:r w:rsidR="0055775C" w:rsidRPr="001513BC">
        <w:t>at you we</w:t>
      </w:r>
      <w:r w:rsidRPr="001513BC">
        <w:t xml:space="preserve">re doing so, based </w:t>
      </w:r>
      <w:r w:rsidR="0055775C" w:rsidRPr="001513BC">
        <w:t>on advice obtained through the S</w:t>
      </w:r>
      <w:r w:rsidRPr="001513BC">
        <w:t xml:space="preserve">ilk Road website, by </w:t>
      </w:r>
      <w:r w:rsidR="0055775C" w:rsidRPr="001513BC">
        <w:t>having the parcels</w:t>
      </w:r>
      <w:r w:rsidRPr="001513BC">
        <w:t xml:space="preserve"> addr</w:t>
      </w:r>
      <w:r w:rsidR="0055775C" w:rsidRPr="001513BC">
        <w:t>essed to names other than yours and preferably to</w:t>
      </w:r>
      <w:r w:rsidR="0018164D" w:rsidRPr="001513BC">
        <w:t xml:space="preserve"> addresses other than yours. </w:t>
      </w:r>
      <w:r w:rsidR="0055775C" w:rsidRPr="001513BC">
        <w:t xml:space="preserve"> </w:t>
      </w:r>
      <w:r w:rsidR="00135C87" w:rsidRPr="001513BC">
        <w:t xml:space="preserve">You asked Mr </w:t>
      </w:r>
      <w:r w:rsidR="00BA52C3" w:rsidRPr="001513BC">
        <w:t>Kitek</w:t>
      </w:r>
      <w:r w:rsidR="0055775C" w:rsidRPr="001513BC">
        <w:t xml:space="preserve"> if</w:t>
      </w:r>
      <w:r w:rsidR="0018164D" w:rsidRPr="001513BC">
        <w:t xml:space="preserve"> he was prepared to lend his name and address, that is</w:t>
      </w:r>
      <w:r w:rsidR="0055775C" w:rsidRPr="001513BC">
        <w:t>, to act as</w:t>
      </w:r>
      <w:r w:rsidR="0018164D" w:rsidRPr="001513BC">
        <w:t xml:space="preserve"> a post</w:t>
      </w:r>
      <w:r w:rsidR="0055775C" w:rsidRPr="001513BC">
        <w:t xml:space="preserve"> </w:t>
      </w:r>
      <w:r w:rsidR="0018164D" w:rsidRPr="001513BC">
        <w:t>box for the receipt o</w:t>
      </w:r>
      <w:r w:rsidR="0055775C" w:rsidRPr="001513BC">
        <w:t>f d</w:t>
      </w:r>
      <w:r w:rsidR="003D69E3" w:rsidRPr="001513BC">
        <w:t xml:space="preserve">rugs ordered by you through </w:t>
      </w:r>
      <w:r w:rsidR="0055775C" w:rsidRPr="001513BC">
        <w:t>S</w:t>
      </w:r>
      <w:r w:rsidR="0018164D" w:rsidRPr="001513BC">
        <w:t xml:space="preserve">ilk Road. </w:t>
      </w:r>
      <w:r w:rsidR="0055775C" w:rsidRPr="001513BC">
        <w:t xml:space="preserve"> He declined.</w:t>
      </w:r>
    </w:p>
    <w:p w:rsidR="00A22026" w:rsidRPr="001513BC" w:rsidRDefault="0055775C" w:rsidP="003E08DB">
      <w:pPr>
        <w:pStyle w:val="Heading1"/>
      </w:pPr>
      <w:r w:rsidRPr="001513BC">
        <w:lastRenderedPageBreak/>
        <w:t>D</w:t>
      </w:r>
      <w:r w:rsidR="00C077FF" w:rsidRPr="001513BC">
        <w:t xml:space="preserve">espite Mr </w:t>
      </w:r>
      <w:r w:rsidR="00BA52C3" w:rsidRPr="001513BC">
        <w:t>Kitek</w:t>
      </w:r>
      <w:r w:rsidR="0018164D" w:rsidRPr="001513BC">
        <w:t>’s refus</w:t>
      </w:r>
      <w:r w:rsidRPr="001513BC">
        <w:t>al to participate in the scheme</w:t>
      </w:r>
      <w:r w:rsidR="003D69E3" w:rsidRPr="001513BC">
        <w:t>,</w:t>
      </w:r>
      <w:r w:rsidR="0018164D" w:rsidRPr="001513BC">
        <w:t xml:space="preserve"> between 4 June 2013</w:t>
      </w:r>
      <w:r w:rsidRPr="001513BC">
        <w:t xml:space="preserve"> and</w:t>
      </w:r>
      <w:r w:rsidR="0018164D" w:rsidRPr="001513BC">
        <w:t xml:space="preserve"> 5 February 2014</w:t>
      </w:r>
      <w:r w:rsidRPr="001513BC">
        <w:t>,</w:t>
      </w:r>
      <w:r w:rsidR="0018164D" w:rsidRPr="001513BC">
        <w:t xml:space="preserve"> fo</w:t>
      </w:r>
      <w:r w:rsidRPr="001513BC">
        <w:t>u</w:t>
      </w:r>
      <w:r w:rsidR="0018164D" w:rsidRPr="001513BC">
        <w:t xml:space="preserve">r parcels of drugs were intercepted by Customs, which were </w:t>
      </w:r>
      <w:r w:rsidRPr="001513BC">
        <w:t>ad</w:t>
      </w:r>
      <w:r w:rsidR="00C077FF" w:rsidRPr="001513BC">
        <w:t xml:space="preserve">dressed to Mr </w:t>
      </w:r>
      <w:r w:rsidR="00BA52C3" w:rsidRPr="001513BC">
        <w:t>Kitek</w:t>
      </w:r>
      <w:r w:rsidR="0018164D" w:rsidRPr="001513BC">
        <w:t xml:space="preserve"> at your home address. </w:t>
      </w:r>
      <w:r w:rsidRPr="001513BC">
        <w:t xml:space="preserve"> </w:t>
      </w:r>
      <w:r w:rsidR="0018164D" w:rsidRPr="001513BC">
        <w:t>The first of those pa</w:t>
      </w:r>
      <w:r w:rsidRPr="001513BC">
        <w:t xml:space="preserve">rcels contained a single tablet, </w:t>
      </w:r>
      <w:r w:rsidR="003D69E3" w:rsidRPr="001513BC">
        <w:t>0</w:t>
      </w:r>
      <w:r w:rsidRPr="001513BC">
        <w:t>.</w:t>
      </w:r>
      <w:r w:rsidR="003D69E3" w:rsidRPr="001513BC">
        <w:t xml:space="preserve">1 </w:t>
      </w:r>
      <w:r w:rsidR="0018164D" w:rsidRPr="001513BC">
        <w:t>gram</w:t>
      </w:r>
      <w:r w:rsidR="003D69E3" w:rsidRPr="001513BC">
        <w:t>s</w:t>
      </w:r>
      <w:r w:rsidR="0018164D" w:rsidRPr="001513BC">
        <w:t xml:space="preserve"> of MDMA. </w:t>
      </w:r>
      <w:r w:rsidRPr="001513BC">
        <w:t xml:space="preserve"> </w:t>
      </w:r>
      <w:r w:rsidR="0018164D" w:rsidRPr="001513BC">
        <w:t>The other parcels contain</w:t>
      </w:r>
      <w:r w:rsidRPr="001513BC">
        <w:t>ed</w:t>
      </w:r>
      <w:r w:rsidR="0018164D" w:rsidRPr="001513BC">
        <w:t xml:space="preserve"> greater quantities.</w:t>
      </w:r>
      <w:r w:rsidRPr="001513BC">
        <w:t xml:space="preserve">  One parcel contained</w:t>
      </w:r>
      <w:r w:rsidR="0018164D" w:rsidRPr="001513BC">
        <w:t xml:space="preserve"> a DVD cover</w:t>
      </w:r>
      <w:r w:rsidRPr="001513BC">
        <w:t>,</w:t>
      </w:r>
      <w:r w:rsidR="0018164D" w:rsidRPr="001513BC">
        <w:t xml:space="preserve"> in which there was </w:t>
      </w:r>
      <w:r w:rsidRPr="001513BC">
        <w:br/>
      </w:r>
      <w:r w:rsidR="0018164D" w:rsidRPr="001513BC">
        <w:t>a bag containing 5.5 g</w:t>
      </w:r>
      <w:r w:rsidRPr="001513BC">
        <w:t>rams of</w:t>
      </w:r>
      <w:r w:rsidR="0018164D" w:rsidRPr="001513BC">
        <w:t xml:space="preserve"> crystal, which yielded 4.1 g</w:t>
      </w:r>
      <w:r w:rsidRPr="001513BC">
        <w:t>rams of pure MDMA. The other two</w:t>
      </w:r>
      <w:r w:rsidR="0018164D" w:rsidRPr="001513BC">
        <w:t xml:space="preserve"> parcels were envelopes</w:t>
      </w:r>
      <w:r w:rsidRPr="001513BC">
        <w:t>,</w:t>
      </w:r>
      <w:r w:rsidR="0018164D" w:rsidRPr="001513BC">
        <w:t xml:space="preserve"> one containing 4.7 g</w:t>
      </w:r>
      <w:r w:rsidRPr="001513BC">
        <w:t>rams</w:t>
      </w:r>
      <w:r w:rsidR="0018164D" w:rsidRPr="001513BC">
        <w:t xml:space="preserve"> of powder</w:t>
      </w:r>
      <w:r w:rsidR="003D69E3" w:rsidRPr="001513BC">
        <w:t>, which yielded 3</w:t>
      </w:r>
      <w:r w:rsidRPr="001513BC">
        <w:t xml:space="preserve"> grams</w:t>
      </w:r>
      <w:r w:rsidR="0018164D" w:rsidRPr="001513BC">
        <w:t xml:space="preserve"> of amphetamine,</w:t>
      </w:r>
      <w:r w:rsidRPr="001513BC">
        <w:t xml:space="preserve"> and</w:t>
      </w:r>
      <w:r w:rsidR="0018164D" w:rsidRPr="001513BC">
        <w:t xml:space="preserve"> the other an envelope containing 8.3 g</w:t>
      </w:r>
      <w:r w:rsidRPr="001513BC">
        <w:t>rams</w:t>
      </w:r>
      <w:r w:rsidR="0018164D" w:rsidRPr="001513BC">
        <w:t xml:space="preserve"> of paste</w:t>
      </w:r>
      <w:r w:rsidRPr="001513BC">
        <w:t>,</w:t>
      </w:r>
      <w:r w:rsidR="0018164D" w:rsidRPr="001513BC">
        <w:t xml:space="preserve"> with a very low yield, only </w:t>
      </w:r>
      <w:r w:rsidR="003D69E3" w:rsidRPr="001513BC">
        <w:t xml:space="preserve">0.4 grams </w:t>
      </w:r>
      <w:r w:rsidR="0018164D" w:rsidRPr="001513BC">
        <w:t xml:space="preserve">of pure amphetamine. </w:t>
      </w:r>
      <w:r w:rsidRPr="001513BC">
        <w:t xml:space="preserve"> </w:t>
      </w:r>
      <w:r w:rsidR="0018164D" w:rsidRPr="001513BC">
        <w:t xml:space="preserve">It is this that gives rise </w:t>
      </w:r>
      <w:r w:rsidRPr="001513BC">
        <w:t>to C</w:t>
      </w:r>
      <w:r w:rsidR="0018164D" w:rsidRPr="001513BC">
        <w:t>harge 2, the first charge of importing a marketable quantity of border controlled drugs.</w:t>
      </w:r>
    </w:p>
    <w:p w:rsidR="004727C9" w:rsidRPr="001513BC" w:rsidRDefault="004727C9" w:rsidP="004727C9">
      <w:pPr>
        <w:pStyle w:val="Heading1"/>
      </w:pPr>
      <w:r w:rsidRPr="001513BC">
        <w:t>From 3 September 2013 until 19 January 2014, that is</w:t>
      </w:r>
      <w:r w:rsidR="00C077FF" w:rsidRPr="001513BC">
        <w:t>, commencing whilst you we</w:t>
      </w:r>
      <w:r w:rsidRPr="001513BC">
        <w:t xml:space="preserve">re still having </w:t>
      </w:r>
      <w:r w:rsidR="00C65B11" w:rsidRPr="001513BC">
        <w:t xml:space="preserve">parcels directed to Mr </w:t>
      </w:r>
      <w:r w:rsidR="00BA52C3" w:rsidRPr="001513BC">
        <w:t>Kitek</w:t>
      </w:r>
      <w:r w:rsidR="00C077FF" w:rsidRPr="001513BC">
        <w:t xml:space="preserve"> to</w:t>
      </w:r>
      <w:r w:rsidRPr="001513BC">
        <w:t xml:space="preserve"> your home address, you also directed parcels containing drugs ordered from the </w:t>
      </w:r>
      <w:r w:rsidR="00C077FF" w:rsidRPr="001513BC">
        <w:t>S</w:t>
      </w:r>
      <w:r w:rsidRPr="001513BC">
        <w:t xml:space="preserve">ilk Road website to be delivered to the address of </w:t>
      </w:r>
      <w:r w:rsidR="00C9304A" w:rsidRPr="001513BC">
        <w:t>Dejan Ciceli</w:t>
      </w:r>
      <w:r w:rsidRPr="001513BC">
        <w:t>.</w:t>
      </w:r>
      <w:r w:rsidR="00C077FF" w:rsidRPr="001513BC">
        <w:t xml:space="preserve"> </w:t>
      </w:r>
      <w:r w:rsidRPr="001513BC">
        <w:t xml:space="preserve"> Some of those parcels were addressed to Mr </w:t>
      </w:r>
      <w:r w:rsidR="00C9304A" w:rsidRPr="001513BC">
        <w:t>Ciceli</w:t>
      </w:r>
      <w:r w:rsidRPr="001513BC">
        <w:t xml:space="preserve">, others to the former owner of his house. </w:t>
      </w:r>
    </w:p>
    <w:p w:rsidR="00B2331F" w:rsidRPr="001513BC" w:rsidRDefault="00B2331F" w:rsidP="003E08DB">
      <w:pPr>
        <w:pStyle w:val="Heading1"/>
      </w:pPr>
      <w:r w:rsidRPr="001513BC">
        <w:t xml:space="preserve">Although there is no charge relating to this, the evidence before me reveals that you were also Mr </w:t>
      </w:r>
      <w:r w:rsidR="00C9304A" w:rsidRPr="001513BC">
        <w:t>Ciceli</w:t>
      </w:r>
      <w:r w:rsidRPr="001513BC">
        <w:t xml:space="preserve">’s drug dealer. </w:t>
      </w:r>
      <w:r w:rsidR="00C077FF" w:rsidRPr="001513BC">
        <w:t xml:space="preserve"> You were also supplying him with ice and it is apparently through that relationship that the sending of the parcels to his address occurred.  </w:t>
      </w:r>
    </w:p>
    <w:p w:rsidR="004727C9" w:rsidRPr="001513BC" w:rsidRDefault="00C077FF" w:rsidP="004727C9">
      <w:pPr>
        <w:pStyle w:val="Heading1"/>
      </w:pPr>
      <w:r w:rsidRPr="001513BC">
        <w:t xml:space="preserve">The first </w:t>
      </w:r>
      <w:r w:rsidR="00C65B11" w:rsidRPr="001513BC">
        <w:t xml:space="preserve">of the </w:t>
      </w:r>
      <w:r w:rsidRPr="001513BC">
        <w:t>parcel</w:t>
      </w:r>
      <w:r w:rsidR="00C65B11" w:rsidRPr="001513BC">
        <w:t>s</w:t>
      </w:r>
      <w:r w:rsidRPr="001513BC">
        <w:t xml:space="preserve"> that went to </w:t>
      </w:r>
      <w:r w:rsidR="004727C9" w:rsidRPr="001513BC">
        <w:t xml:space="preserve">Mr </w:t>
      </w:r>
      <w:r w:rsidR="00C9304A" w:rsidRPr="001513BC">
        <w:t>Ciceli</w:t>
      </w:r>
      <w:r w:rsidR="00C65B11" w:rsidRPr="001513BC">
        <w:t xml:space="preserve">’s address </w:t>
      </w:r>
      <w:r w:rsidRPr="001513BC">
        <w:t xml:space="preserve">was directed to the former owner of his home and it </w:t>
      </w:r>
      <w:r w:rsidR="004727C9" w:rsidRPr="001513BC">
        <w:t xml:space="preserve">was intercepted by Customs on 3 September 2013. </w:t>
      </w:r>
      <w:r w:rsidRPr="001513BC">
        <w:t xml:space="preserve"> </w:t>
      </w:r>
      <w:r w:rsidR="004727C9" w:rsidRPr="001513BC">
        <w:t>It contained a packet of ear</w:t>
      </w:r>
      <w:r w:rsidRPr="001513BC">
        <w:t>phones</w:t>
      </w:r>
      <w:r w:rsidR="004727C9" w:rsidRPr="001513BC">
        <w:t xml:space="preserve"> and 19 green tablets containing 7.8 g</w:t>
      </w:r>
      <w:r w:rsidRPr="001513BC">
        <w:t>rams</w:t>
      </w:r>
      <w:r w:rsidR="004727C9" w:rsidRPr="001513BC">
        <w:t>, or 2.9 g</w:t>
      </w:r>
      <w:r w:rsidRPr="001513BC">
        <w:t xml:space="preserve">rams </w:t>
      </w:r>
      <w:r w:rsidR="004727C9" w:rsidRPr="001513BC">
        <w:t xml:space="preserve">pure </w:t>
      </w:r>
      <w:r w:rsidRPr="001513BC">
        <w:t xml:space="preserve">of </w:t>
      </w:r>
      <w:r w:rsidR="004727C9" w:rsidRPr="001513BC">
        <w:t xml:space="preserve">MDMA. </w:t>
      </w:r>
      <w:r w:rsidRPr="001513BC">
        <w:t xml:space="preserve"> </w:t>
      </w:r>
      <w:r w:rsidR="004727C9" w:rsidRPr="001513BC">
        <w:t>There is no evidence</w:t>
      </w:r>
      <w:r w:rsidRPr="001513BC">
        <w:t xml:space="preserve"> on the material before me</w:t>
      </w:r>
      <w:r w:rsidR="004727C9" w:rsidRPr="001513BC">
        <w:t xml:space="preserve"> that Mr </w:t>
      </w:r>
      <w:r w:rsidR="00C9304A" w:rsidRPr="001513BC">
        <w:t>Ciceli</w:t>
      </w:r>
      <w:r w:rsidR="004727C9" w:rsidRPr="001513BC">
        <w:t xml:space="preserve"> was aware of this </w:t>
      </w:r>
      <w:r w:rsidRPr="001513BC">
        <w:t xml:space="preserve">particular </w:t>
      </w:r>
      <w:r w:rsidR="004727C9" w:rsidRPr="001513BC">
        <w:t>importation.</w:t>
      </w:r>
    </w:p>
    <w:p w:rsidR="00B2331F" w:rsidRPr="001513BC" w:rsidRDefault="004727C9" w:rsidP="003E08DB">
      <w:pPr>
        <w:pStyle w:val="Heading1"/>
      </w:pPr>
      <w:r w:rsidRPr="001513BC">
        <w:t xml:space="preserve">However shortly after, on </w:t>
      </w:r>
      <w:r w:rsidR="00B2331F" w:rsidRPr="001513BC">
        <w:t>19 September 2013</w:t>
      </w:r>
      <w:r w:rsidR="00C077FF" w:rsidRPr="001513BC">
        <w:t>,</w:t>
      </w:r>
      <w:r w:rsidR="00B2331F" w:rsidRPr="001513BC">
        <w:t xml:space="preserve"> you engaged Mr </w:t>
      </w:r>
      <w:r w:rsidR="00C9304A" w:rsidRPr="001513BC">
        <w:t>Ciceli</w:t>
      </w:r>
      <w:r w:rsidR="00C077FF" w:rsidRPr="001513BC">
        <w:t xml:space="preserve"> in a scheme where parcels we</w:t>
      </w:r>
      <w:r w:rsidR="00B2331F" w:rsidRPr="001513BC">
        <w:t>re directed</w:t>
      </w:r>
      <w:r w:rsidR="00C077FF" w:rsidRPr="001513BC">
        <w:t>, either to him or to the</w:t>
      </w:r>
      <w:r w:rsidR="00B2331F" w:rsidRPr="001513BC">
        <w:t xml:space="preserve"> fo</w:t>
      </w:r>
      <w:r w:rsidR="00C077FF" w:rsidRPr="001513BC">
        <w:t xml:space="preserve">rmer owner of his house, </w:t>
      </w:r>
      <w:r w:rsidR="003D69E3" w:rsidRPr="001513BC">
        <w:t>at</w:t>
      </w:r>
      <w:r w:rsidR="00C077FF" w:rsidRPr="001513BC">
        <w:t xml:space="preserve"> his home address.  They </w:t>
      </w:r>
      <w:r w:rsidR="00B2331F" w:rsidRPr="001513BC">
        <w:t>were</w:t>
      </w:r>
      <w:r w:rsidR="00C077FF" w:rsidRPr="001513BC">
        <w:t xml:space="preserve"> to be</w:t>
      </w:r>
      <w:r w:rsidR="00B2331F" w:rsidRPr="001513BC">
        <w:t xml:space="preserve"> collected by him and passed on </w:t>
      </w:r>
      <w:r w:rsidR="00B2331F" w:rsidRPr="001513BC">
        <w:lastRenderedPageBreak/>
        <w:t>to you.</w:t>
      </w:r>
      <w:r w:rsidR="00C077FF" w:rsidRPr="001513BC">
        <w:t xml:space="preserve"> </w:t>
      </w:r>
      <w:r w:rsidR="00E84CA5" w:rsidRPr="001513BC">
        <w:t xml:space="preserve"> You paid him in kind, a point of ice wor</w:t>
      </w:r>
      <w:r w:rsidR="00647BB7" w:rsidRPr="001513BC">
        <w:t xml:space="preserve">th $100 for each successful delivery. </w:t>
      </w:r>
      <w:r w:rsidR="00E84CA5" w:rsidRPr="001513BC">
        <w:t xml:space="preserve"> </w:t>
      </w:r>
      <w:r w:rsidR="00647BB7" w:rsidRPr="001513BC">
        <w:t>Between 19 September 2013 and 19 January 2014</w:t>
      </w:r>
      <w:r w:rsidR="003216BD" w:rsidRPr="001513BC">
        <w:t>, whilst</w:t>
      </w:r>
      <w:r w:rsidRPr="001513BC">
        <w:t xml:space="preserve"> this agreement was stil</w:t>
      </w:r>
      <w:r w:rsidR="003216BD" w:rsidRPr="001513BC">
        <w:t>l on foot, two</w:t>
      </w:r>
      <w:r w:rsidRPr="001513BC">
        <w:t xml:space="preserve"> parcels were delivered to Mr </w:t>
      </w:r>
      <w:r w:rsidR="00C9304A" w:rsidRPr="001513BC">
        <w:t>Ciceli</w:t>
      </w:r>
      <w:r w:rsidR="003216BD" w:rsidRPr="001513BC">
        <w:t xml:space="preserve">’s address and passed on to you by him.  </w:t>
      </w:r>
      <w:r w:rsidRPr="001513BC">
        <w:t>As the</w:t>
      </w:r>
      <w:r w:rsidR="003216BD" w:rsidRPr="001513BC">
        <w:t>se two</w:t>
      </w:r>
      <w:r w:rsidRPr="001513BC">
        <w:t xml:space="preserve"> parcels were not intercepted</w:t>
      </w:r>
      <w:r w:rsidR="0066289B" w:rsidRPr="001513BC">
        <w:t>, whilst it can be inferred that they contain</w:t>
      </w:r>
      <w:r w:rsidR="003216BD" w:rsidRPr="001513BC">
        <w:t>ed</w:t>
      </w:r>
      <w:r w:rsidR="0066289B" w:rsidRPr="001513BC">
        <w:t xml:space="preserve"> drugs, there is no evidenc</w:t>
      </w:r>
      <w:r w:rsidR="003216BD" w:rsidRPr="001513BC">
        <w:t xml:space="preserve">e as to the type of drug or </w:t>
      </w:r>
      <w:r w:rsidR="0066289B" w:rsidRPr="001513BC">
        <w:t>quantity.</w:t>
      </w:r>
    </w:p>
    <w:p w:rsidR="0066289B" w:rsidRPr="001513BC" w:rsidRDefault="003216BD" w:rsidP="0066289B">
      <w:pPr>
        <w:pStyle w:val="Heading1"/>
        <w:numPr>
          <w:ilvl w:val="0"/>
          <w:numId w:val="5"/>
        </w:numPr>
        <w:tabs>
          <w:tab w:val="clear" w:pos="360"/>
        </w:tabs>
        <w:ind w:left="1440" w:hanging="720"/>
      </w:pPr>
      <w:r w:rsidRPr="001513BC">
        <w:t>A further five</w:t>
      </w:r>
      <w:r w:rsidR="0066289B" w:rsidRPr="001513BC">
        <w:t xml:space="preserve"> parcels addressed to Mr </w:t>
      </w:r>
      <w:r w:rsidR="00C9304A" w:rsidRPr="001513BC">
        <w:t>Ciceli</w:t>
      </w:r>
      <w:r w:rsidR="0066289B" w:rsidRPr="001513BC">
        <w:t xml:space="preserve">’s </w:t>
      </w:r>
      <w:r w:rsidRPr="001513BC">
        <w:t xml:space="preserve">home address were intercepted.  Three of the five </w:t>
      </w:r>
      <w:r w:rsidR="0066289B" w:rsidRPr="001513BC">
        <w:t xml:space="preserve">intercepted parcels contained envelopes in which </w:t>
      </w:r>
      <w:r w:rsidRPr="001513BC">
        <w:t>MDMA,</w:t>
      </w:r>
      <w:r w:rsidR="0066289B" w:rsidRPr="001513BC">
        <w:t xml:space="preserve"> in powder form</w:t>
      </w:r>
      <w:r w:rsidRPr="001513BC">
        <w:t>,</w:t>
      </w:r>
      <w:r w:rsidR="0066289B" w:rsidRPr="001513BC">
        <w:t xml:space="preserve"> was packaged. </w:t>
      </w:r>
      <w:r w:rsidRPr="001513BC">
        <w:t xml:space="preserve"> </w:t>
      </w:r>
      <w:r w:rsidR="0066289B" w:rsidRPr="001513BC">
        <w:t xml:space="preserve">One package contained MDMA in tablet form. </w:t>
      </w:r>
      <w:r w:rsidRPr="001513BC">
        <w:t xml:space="preserve"> </w:t>
      </w:r>
      <w:r w:rsidR="0066289B" w:rsidRPr="001513BC">
        <w:t>The final package contained methamphetamine in crystalline form</w:t>
      </w:r>
      <w:r w:rsidRPr="001513BC">
        <w:t>,</w:t>
      </w:r>
      <w:r w:rsidR="0066289B" w:rsidRPr="001513BC">
        <w:t xml:space="preserve"> concealed inside two computer desktop hard drives. </w:t>
      </w:r>
      <w:r w:rsidRPr="001513BC">
        <w:t xml:space="preserve"> </w:t>
      </w:r>
      <w:r w:rsidR="0066289B" w:rsidRPr="001513BC">
        <w:t xml:space="preserve">The total amount of MDMA intended to be delivered to Mr </w:t>
      </w:r>
      <w:r w:rsidR="00C9304A" w:rsidRPr="001513BC">
        <w:t>Ciceli</w:t>
      </w:r>
      <w:r w:rsidR="0066289B" w:rsidRPr="001513BC">
        <w:t>’s address</w:t>
      </w:r>
      <w:r w:rsidR="00B32606" w:rsidRPr="001513BC">
        <w:t>, or directed</w:t>
      </w:r>
      <w:r w:rsidRPr="001513BC">
        <w:t xml:space="preserve"> to be delivered to Mr </w:t>
      </w:r>
      <w:r w:rsidR="00C9304A" w:rsidRPr="001513BC">
        <w:t>Ciceli</w:t>
      </w:r>
      <w:r w:rsidRPr="001513BC">
        <w:t>'s</w:t>
      </w:r>
      <w:r w:rsidR="0066289B" w:rsidRPr="001513BC">
        <w:t xml:space="preserve"> and intercepted by Customs</w:t>
      </w:r>
      <w:r w:rsidRPr="001513BC">
        <w:t>,</w:t>
      </w:r>
      <w:r w:rsidR="0066289B" w:rsidRPr="001513BC">
        <w:t xml:space="preserve"> was 22.9 g</w:t>
      </w:r>
      <w:r w:rsidRPr="001513BC">
        <w:t>rams</w:t>
      </w:r>
      <w:r w:rsidR="0066289B" w:rsidRPr="001513BC">
        <w:t xml:space="preserve"> pure. </w:t>
      </w:r>
      <w:r w:rsidRPr="001513BC">
        <w:t xml:space="preserve"> </w:t>
      </w:r>
      <w:r w:rsidR="0066289B" w:rsidRPr="001513BC">
        <w:t>The total amount of methamphetamine</w:t>
      </w:r>
      <w:r w:rsidRPr="001513BC">
        <w:t xml:space="preserve"> directed</w:t>
      </w:r>
      <w:r w:rsidR="0066289B" w:rsidRPr="001513BC">
        <w:t xml:space="preserve"> to be delivered to </w:t>
      </w:r>
      <w:r w:rsidRPr="001513BC">
        <w:br/>
      </w:r>
      <w:r w:rsidR="0066289B" w:rsidRPr="001513BC">
        <w:t xml:space="preserve">Mr </w:t>
      </w:r>
      <w:r w:rsidR="00C9304A" w:rsidRPr="001513BC">
        <w:t>Ciceli</w:t>
      </w:r>
      <w:r w:rsidR="0066289B" w:rsidRPr="001513BC">
        <w:t>’s address and intercepted by Customs was 58.1 g</w:t>
      </w:r>
      <w:r w:rsidRPr="001513BC">
        <w:t>rams</w:t>
      </w:r>
      <w:r w:rsidR="0066289B" w:rsidRPr="001513BC">
        <w:t xml:space="preserve"> pure. </w:t>
      </w:r>
    </w:p>
    <w:p w:rsidR="0066289B" w:rsidRPr="001513BC" w:rsidRDefault="0066289B" w:rsidP="0066289B">
      <w:pPr>
        <w:pStyle w:val="Heading1"/>
        <w:numPr>
          <w:ilvl w:val="0"/>
          <w:numId w:val="5"/>
        </w:numPr>
        <w:tabs>
          <w:tab w:val="clear" w:pos="360"/>
        </w:tabs>
        <w:ind w:left="1440" w:hanging="720"/>
      </w:pPr>
      <w:r w:rsidRPr="001513BC">
        <w:t>I</w:t>
      </w:r>
      <w:r w:rsidR="00A21840" w:rsidRPr="001513BC">
        <w:t>t is this that gives rise to a second rolled-up charge of importing a marketable quantity of b</w:t>
      </w:r>
      <w:r w:rsidRPr="001513BC">
        <w:t xml:space="preserve">order controlled drugs. </w:t>
      </w:r>
      <w:r w:rsidR="00A21840" w:rsidRPr="001513BC">
        <w:t xml:space="preserve"> </w:t>
      </w:r>
      <w:r w:rsidRPr="001513BC">
        <w:t xml:space="preserve">By reason of the interception on </w:t>
      </w:r>
      <w:r w:rsidR="00A21840" w:rsidRPr="001513BC">
        <w:br/>
      </w:r>
      <w:r w:rsidRPr="001513BC">
        <w:t>3 September 2013 of the first parcel, at a time before</w:t>
      </w:r>
      <w:r w:rsidR="00930B2B" w:rsidRPr="001513BC">
        <w:t xml:space="preserve"> you enlisted </w:t>
      </w:r>
      <w:r w:rsidR="00A21840" w:rsidRPr="001513BC">
        <w:br/>
      </w:r>
      <w:r w:rsidR="00930B2B" w:rsidRPr="001513BC">
        <w:t xml:space="preserve">Mr </w:t>
      </w:r>
      <w:r w:rsidR="00C9304A" w:rsidRPr="001513BC">
        <w:t>Ciceli</w:t>
      </w:r>
      <w:r w:rsidR="00930B2B" w:rsidRPr="001513BC">
        <w:t>’s assistanc</w:t>
      </w:r>
      <w:r w:rsidR="00A21840" w:rsidRPr="001513BC">
        <w:t xml:space="preserve">e, the weight of the MDMA, </w:t>
      </w:r>
      <w:r w:rsidR="00930B2B" w:rsidRPr="001513BC">
        <w:t>the subject of this charge</w:t>
      </w:r>
      <w:r w:rsidR="00A21840" w:rsidRPr="001513BC">
        <w:t>,</w:t>
      </w:r>
      <w:r w:rsidR="00930B2B" w:rsidRPr="001513BC">
        <w:t xml:space="preserve"> is 2.9 g</w:t>
      </w:r>
      <w:r w:rsidR="00A21840" w:rsidRPr="001513BC">
        <w:t>rams</w:t>
      </w:r>
      <w:r w:rsidR="00930B2B" w:rsidRPr="001513BC">
        <w:t xml:space="preserve"> more than the weight of MDMA referred to in the parallel charge to which </w:t>
      </w:r>
      <w:r w:rsidR="008F2C95" w:rsidRPr="001513BC">
        <w:t xml:space="preserve">Mr </w:t>
      </w:r>
      <w:r w:rsidR="00C9304A" w:rsidRPr="001513BC">
        <w:t>Ciceli</w:t>
      </w:r>
      <w:r w:rsidR="00930B2B" w:rsidRPr="001513BC">
        <w:t xml:space="preserve"> pleaded guilty.</w:t>
      </w:r>
    </w:p>
    <w:p w:rsidR="00930B2B" w:rsidRPr="001513BC" w:rsidRDefault="00A21840" w:rsidP="0066289B">
      <w:pPr>
        <w:pStyle w:val="Heading1"/>
        <w:numPr>
          <w:ilvl w:val="0"/>
          <w:numId w:val="5"/>
        </w:numPr>
        <w:tabs>
          <w:tab w:val="clear" w:pos="360"/>
        </w:tabs>
        <w:ind w:left="1440" w:hanging="720"/>
      </w:pPr>
      <w:r w:rsidRPr="001513BC">
        <w:t>Following the execution of the</w:t>
      </w:r>
      <w:r w:rsidR="00930B2B" w:rsidRPr="001513BC">
        <w:t xml:space="preserve"> search warrant at Mr </w:t>
      </w:r>
      <w:r w:rsidR="00C9304A" w:rsidRPr="001513BC">
        <w:t>Ciceli</w:t>
      </w:r>
      <w:r w:rsidR="00930B2B" w:rsidRPr="001513BC">
        <w:t xml:space="preserve">’s home on </w:t>
      </w:r>
      <w:r w:rsidRPr="001513BC">
        <w:br/>
      </w:r>
      <w:r w:rsidR="00930B2B" w:rsidRPr="001513BC">
        <w:t>3 February</w:t>
      </w:r>
      <w:r w:rsidRPr="001513BC">
        <w:t xml:space="preserve"> 2014</w:t>
      </w:r>
      <w:r w:rsidR="00930B2B" w:rsidRPr="001513BC">
        <w:t>, analysis of text</w:t>
      </w:r>
      <w:r w:rsidRPr="001513BC">
        <w:t xml:space="preserve"> messages</w:t>
      </w:r>
      <w:r w:rsidR="00930B2B" w:rsidRPr="001513BC">
        <w:t xml:space="preserve"> on his mobile phone reveal</w:t>
      </w:r>
      <w:r w:rsidRPr="001513BC">
        <w:t>ed</w:t>
      </w:r>
      <w:r w:rsidR="00930B2B" w:rsidRPr="001513BC">
        <w:t xml:space="preserve"> contact with you</w:t>
      </w:r>
      <w:r w:rsidRPr="001513BC">
        <w:t xml:space="preserve"> on 19 September, 30 September and 2 October 2013, and</w:t>
      </w:r>
      <w:r w:rsidR="00930B2B" w:rsidRPr="001513BC">
        <w:t xml:space="preserve"> </w:t>
      </w:r>
      <w:r w:rsidRPr="001513BC">
        <w:br/>
      </w:r>
      <w:r w:rsidR="00930B2B" w:rsidRPr="001513BC">
        <w:t>19 January and 21 January 2014</w:t>
      </w:r>
      <w:r w:rsidRPr="001513BC">
        <w:t>,</w:t>
      </w:r>
      <w:r w:rsidR="00930B2B" w:rsidRPr="001513BC">
        <w:t xml:space="preserve"> relating to the anticipated arrival of parcels containing drugs ordered</w:t>
      </w:r>
      <w:r w:rsidRPr="001513BC">
        <w:t xml:space="preserve"> through the S</w:t>
      </w:r>
      <w:r w:rsidR="003736CC" w:rsidRPr="001513BC">
        <w:t>ilk Road website.</w:t>
      </w:r>
    </w:p>
    <w:p w:rsidR="0066289B" w:rsidRPr="001513BC" w:rsidRDefault="00930B2B" w:rsidP="0087733A">
      <w:pPr>
        <w:pStyle w:val="Heading1"/>
        <w:numPr>
          <w:ilvl w:val="0"/>
          <w:numId w:val="5"/>
        </w:numPr>
        <w:tabs>
          <w:tab w:val="clear" w:pos="360"/>
        </w:tabs>
        <w:ind w:left="1440" w:hanging="720"/>
      </w:pPr>
      <w:r w:rsidRPr="001513BC">
        <w:t xml:space="preserve">Police executed a </w:t>
      </w:r>
      <w:r w:rsidR="00A21840" w:rsidRPr="001513BC">
        <w:t xml:space="preserve">search </w:t>
      </w:r>
      <w:r w:rsidRPr="001513BC">
        <w:t xml:space="preserve">warrant at your house on 18 February 2014. </w:t>
      </w:r>
      <w:r w:rsidR="00A21840" w:rsidRPr="001513BC">
        <w:t xml:space="preserve"> </w:t>
      </w:r>
      <w:r w:rsidRPr="001513BC">
        <w:t xml:space="preserve">$10,100 </w:t>
      </w:r>
      <w:r w:rsidR="00A21840" w:rsidRPr="001513BC">
        <w:t>in cash was found</w:t>
      </w:r>
      <w:r w:rsidR="0087733A" w:rsidRPr="001513BC">
        <w:t xml:space="preserve"> under shelf in your bedroom.  </w:t>
      </w:r>
      <w:r w:rsidRPr="001513BC">
        <w:t xml:space="preserve">Various telephones and </w:t>
      </w:r>
      <w:r w:rsidRPr="001513BC">
        <w:lastRenderedPageBreak/>
        <w:t xml:space="preserve">electronic devices were also seized. </w:t>
      </w:r>
      <w:r w:rsidR="0087733A" w:rsidRPr="001513BC">
        <w:t xml:space="preserve"> </w:t>
      </w:r>
      <w:r w:rsidRPr="001513BC">
        <w:t xml:space="preserve">Examination of those </w:t>
      </w:r>
      <w:r w:rsidR="0087733A" w:rsidRPr="001513BC">
        <w:t xml:space="preserve">that </w:t>
      </w:r>
      <w:r w:rsidRPr="001513BC">
        <w:t xml:space="preserve">revealed </w:t>
      </w:r>
      <w:r w:rsidR="0087733A" w:rsidRPr="001513BC">
        <w:t>some</w:t>
      </w:r>
      <w:r w:rsidRPr="001513BC">
        <w:t xml:space="preserve"> been used</w:t>
      </w:r>
      <w:r w:rsidR="0087733A" w:rsidRPr="001513BC">
        <w:t>,</w:t>
      </w:r>
      <w:r w:rsidRPr="001513BC">
        <w:t xml:space="preserve"> with several laye</w:t>
      </w:r>
      <w:r w:rsidR="0087733A" w:rsidRPr="001513BC">
        <w:t>rs of encryption to access the Silk Road website to research importing drugs</w:t>
      </w:r>
      <w:r w:rsidRPr="001513BC">
        <w:t xml:space="preserve"> and the use </w:t>
      </w:r>
      <w:r w:rsidR="005F76FA" w:rsidRPr="001513BC">
        <w:t>of B</w:t>
      </w:r>
      <w:r w:rsidR="0087733A" w:rsidRPr="001513BC">
        <w:t>it</w:t>
      </w:r>
      <w:r w:rsidRPr="001513BC">
        <w:t>coin to purchase drug</w:t>
      </w:r>
      <w:r w:rsidR="0087733A" w:rsidRPr="001513BC">
        <w:t xml:space="preserve">s online. Tracking numbers for two of the items imported were </w:t>
      </w:r>
      <w:r w:rsidRPr="001513BC">
        <w:t>found</w:t>
      </w:r>
      <w:r w:rsidR="0087733A" w:rsidRPr="001513BC">
        <w:t>,</w:t>
      </w:r>
      <w:r w:rsidRPr="001513BC">
        <w:t xml:space="preserve"> either on a USB stick at your home, or in the text messages exchanged between you and </w:t>
      </w:r>
      <w:r w:rsidR="0087733A" w:rsidRPr="001513BC">
        <w:br/>
      </w:r>
      <w:r w:rsidRPr="001513BC">
        <w:t xml:space="preserve">Mr </w:t>
      </w:r>
      <w:r w:rsidR="00C9304A" w:rsidRPr="001513BC">
        <w:t>Ciceli</w:t>
      </w:r>
      <w:r w:rsidRPr="001513BC">
        <w:t>.</w:t>
      </w:r>
    </w:p>
    <w:p w:rsidR="00930B2B" w:rsidRPr="001513BC" w:rsidRDefault="008861F4" w:rsidP="003E08DB">
      <w:pPr>
        <w:pStyle w:val="Heading1"/>
      </w:pPr>
      <w:r w:rsidRPr="001513BC">
        <w:t>Although the warrant was executed on 18 February 2014, like your co-offender</w:t>
      </w:r>
      <w:r w:rsidR="0087733A" w:rsidRPr="001513BC">
        <w:t>,</w:t>
      </w:r>
      <w:r w:rsidRPr="001513BC">
        <w:t xml:space="preserve"> Mr </w:t>
      </w:r>
      <w:r w:rsidR="00C9304A" w:rsidRPr="001513BC">
        <w:t>Ciceli</w:t>
      </w:r>
      <w:r w:rsidR="0087733A" w:rsidRPr="001513BC">
        <w:t xml:space="preserve">, there was a delay of two and a </w:t>
      </w:r>
      <w:r w:rsidRPr="001513BC">
        <w:t xml:space="preserve">half years before charges were laid. </w:t>
      </w:r>
      <w:r w:rsidR="0087733A" w:rsidRPr="001513BC">
        <w:t xml:space="preserve"> </w:t>
      </w:r>
      <w:r w:rsidRPr="001513BC">
        <w:t>It was no</w:t>
      </w:r>
      <w:r w:rsidR="0087733A" w:rsidRPr="001513BC">
        <w:t>t until 9 August 2016 that you we</w:t>
      </w:r>
      <w:r w:rsidRPr="001513BC">
        <w:t xml:space="preserve">re finally charged. </w:t>
      </w:r>
      <w:r w:rsidR="0087733A" w:rsidRPr="001513BC">
        <w:t xml:space="preserve"> Un</w:t>
      </w:r>
      <w:r w:rsidRPr="001513BC">
        <w:t>like your co-offender, you made no admissions at</w:t>
      </w:r>
      <w:r w:rsidR="0087733A" w:rsidRPr="001513BC">
        <w:t xml:space="preserve"> the time of your original </w:t>
      </w:r>
      <w:r w:rsidR="00B32606" w:rsidRPr="001513BC">
        <w:t>ar</w:t>
      </w:r>
      <w:r w:rsidR="0087733A" w:rsidRPr="001513BC">
        <w:t>rest</w:t>
      </w:r>
      <w:r w:rsidR="00B32606" w:rsidRPr="001513BC">
        <w:t>.  I</w:t>
      </w:r>
      <w:r w:rsidRPr="001513BC">
        <w:t>t was not u</w:t>
      </w:r>
      <w:r w:rsidR="0087733A" w:rsidRPr="001513BC">
        <w:t>ntil the trials against the two of you were listed to commence</w:t>
      </w:r>
      <w:r w:rsidRPr="001513BC">
        <w:t xml:space="preserve"> and your co-offender </w:t>
      </w:r>
      <w:r w:rsidR="0087733A" w:rsidRPr="001513BC">
        <w:t xml:space="preserve">had </w:t>
      </w:r>
      <w:r w:rsidRPr="001513BC">
        <w:t>indicated</w:t>
      </w:r>
      <w:r w:rsidR="0087733A" w:rsidRPr="001513BC">
        <w:t>,</w:t>
      </w:r>
      <w:r w:rsidRPr="001513BC">
        <w:t xml:space="preserve"> not only that </w:t>
      </w:r>
      <w:r w:rsidR="0087733A" w:rsidRPr="001513BC">
        <w:t>he intended to plead guilty to what became a rolled-</w:t>
      </w:r>
      <w:r w:rsidRPr="001513BC">
        <w:t>up charge of importation of a marketable quantity of border controlled drugs</w:t>
      </w:r>
      <w:r w:rsidR="0087733A" w:rsidRPr="001513BC">
        <w:t>,</w:t>
      </w:r>
      <w:r w:rsidRPr="001513BC">
        <w:t xml:space="preserve"> reflecting his involvement, </w:t>
      </w:r>
      <w:r w:rsidR="0087733A" w:rsidRPr="001513BC">
        <w:t xml:space="preserve">as I have just detailed it here </w:t>
      </w:r>
      <w:r w:rsidR="00B32606" w:rsidRPr="001513BC">
        <w:t>but also</w:t>
      </w:r>
      <w:r w:rsidRPr="001513BC">
        <w:t xml:space="preserve"> give an undertaking to give evidence against you</w:t>
      </w:r>
      <w:r w:rsidR="0087733A" w:rsidRPr="001513BC">
        <w:t>,</w:t>
      </w:r>
      <w:r w:rsidRPr="001513BC">
        <w:t xml:space="preserve"> in accordance with the admissions he had made at the time of his original </w:t>
      </w:r>
      <w:r w:rsidR="0087733A" w:rsidRPr="001513BC">
        <w:t>ar</w:t>
      </w:r>
      <w:r w:rsidRPr="001513BC">
        <w:t>rest</w:t>
      </w:r>
      <w:r w:rsidR="0087733A" w:rsidRPr="001513BC">
        <w:t>, which implicated you as well a</w:t>
      </w:r>
      <w:r w:rsidRPr="001513BC">
        <w:t xml:space="preserve">s himself, that you </w:t>
      </w:r>
      <w:r w:rsidR="0087733A" w:rsidRPr="001513BC">
        <w:t xml:space="preserve">embarked </w:t>
      </w:r>
      <w:r w:rsidRPr="001513BC">
        <w:t>upon negotiations with the prosecution</w:t>
      </w:r>
      <w:r w:rsidR="00C40A48" w:rsidRPr="001513BC">
        <w:t>.  That</w:t>
      </w:r>
      <w:r w:rsidRPr="001513BC">
        <w:t xml:space="preserve"> led</w:t>
      </w:r>
      <w:r w:rsidR="00C40A48" w:rsidRPr="001513BC">
        <w:t xml:space="preserve"> ultimately</w:t>
      </w:r>
      <w:r w:rsidRPr="001513BC">
        <w:t xml:space="preserve"> to the resolution of these charges against you and</w:t>
      </w:r>
      <w:r w:rsidR="0087733A" w:rsidRPr="001513BC">
        <w:t xml:space="preserve"> the entry of your guilty pleas to the charge of </w:t>
      </w:r>
      <w:r w:rsidR="00C40A48" w:rsidRPr="001513BC">
        <w:t xml:space="preserve">between dates </w:t>
      </w:r>
      <w:r w:rsidR="0087733A" w:rsidRPr="001513BC">
        <w:t xml:space="preserve">trafficking, based on the admissions made by Mr </w:t>
      </w:r>
      <w:r w:rsidR="00BA52C3" w:rsidRPr="001513BC">
        <w:t>Kitek</w:t>
      </w:r>
      <w:r w:rsidR="00C40A48" w:rsidRPr="001513BC">
        <w:t>,</w:t>
      </w:r>
      <w:r w:rsidR="0087733A" w:rsidRPr="001513BC">
        <w:t xml:space="preserve"> and to the rolle</w:t>
      </w:r>
      <w:r w:rsidR="00C40A48" w:rsidRPr="001513BC">
        <w:t>d-up charges of importation of</w:t>
      </w:r>
      <w:r w:rsidR="0087733A" w:rsidRPr="001513BC">
        <w:t xml:space="preserve"> border controlled drug</w:t>
      </w:r>
      <w:r w:rsidR="00C40A48" w:rsidRPr="001513BC">
        <w:t>s</w:t>
      </w:r>
      <w:r w:rsidR="0087733A" w:rsidRPr="001513BC">
        <w:t xml:space="preserve">, based on the intercepted packages direct to Mr </w:t>
      </w:r>
      <w:r w:rsidR="00BA52C3" w:rsidRPr="001513BC">
        <w:t>Kitek</w:t>
      </w:r>
      <w:r w:rsidR="0087733A" w:rsidRPr="001513BC">
        <w:t xml:space="preserve"> at your address, the intercepted packages directed to Mr </w:t>
      </w:r>
      <w:r w:rsidR="00C9304A" w:rsidRPr="001513BC">
        <w:t>Ciceli</w:t>
      </w:r>
      <w:r w:rsidR="0087733A" w:rsidRPr="001513BC">
        <w:t>'s</w:t>
      </w:r>
      <w:r w:rsidR="00C40A48" w:rsidRPr="001513BC">
        <w:t xml:space="preserve"> address</w:t>
      </w:r>
      <w:r w:rsidR="0087733A" w:rsidRPr="001513BC">
        <w:t xml:space="preserve"> and the information relating to two packages which</w:t>
      </w:r>
      <w:r w:rsidR="00C40A48" w:rsidRPr="001513BC">
        <w:t xml:space="preserve"> were not intercepted, and were delivered to him</w:t>
      </w:r>
      <w:r w:rsidR="0087733A" w:rsidRPr="001513BC">
        <w:t xml:space="preserve">.  </w:t>
      </w:r>
    </w:p>
    <w:p w:rsidR="008861F4" w:rsidRPr="001513BC" w:rsidRDefault="008861F4" w:rsidP="003E08DB">
      <w:pPr>
        <w:pStyle w:val="Heading1"/>
      </w:pPr>
      <w:r w:rsidRPr="001513BC">
        <w:t>Yours</w:t>
      </w:r>
      <w:r w:rsidR="00557840" w:rsidRPr="001513BC">
        <w:t>,</w:t>
      </w:r>
      <w:r w:rsidRPr="001513BC">
        <w:t xml:space="preserve"> the</w:t>
      </w:r>
      <w:r w:rsidR="00035D31" w:rsidRPr="001513BC">
        <w:t>refore</w:t>
      </w:r>
      <w:r w:rsidR="00557840" w:rsidRPr="001513BC">
        <w:t>,</w:t>
      </w:r>
      <w:r w:rsidR="00035D31" w:rsidRPr="001513BC">
        <w:t xml:space="preserve"> is a very late guilty plea</w:t>
      </w:r>
      <w:r w:rsidRPr="001513BC">
        <w:t xml:space="preserve">. </w:t>
      </w:r>
      <w:r w:rsidR="000C4B3B" w:rsidRPr="001513BC">
        <w:t xml:space="preserve"> </w:t>
      </w:r>
      <w:r w:rsidRPr="001513BC">
        <w:t xml:space="preserve">It clearly has utilitarian value, as it avoids the time and cost </w:t>
      </w:r>
      <w:r w:rsidR="000C4B3B" w:rsidRPr="001513BC">
        <w:t xml:space="preserve">of </w:t>
      </w:r>
      <w:r w:rsidRPr="001513BC">
        <w:t xml:space="preserve">trial. </w:t>
      </w:r>
      <w:r w:rsidR="000C4B3B" w:rsidRPr="001513BC">
        <w:t xml:space="preserve"> </w:t>
      </w:r>
      <w:r w:rsidRPr="001513BC">
        <w:t>I</w:t>
      </w:r>
      <w:r w:rsidR="000C4B3B" w:rsidRPr="001513BC">
        <w:t>n my view, i</w:t>
      </w:r>
      <w:r w:rsidRPr="001513BC">
        <w:t xml:space="preserve">t carries greater weight than </w:t>
      </w:r>
      <w:r w:rsidR="000C4B3B" w:rsidRPr="001513BC">
        <w:br/>
      </w:r>
      <w:r w:rsidRPr="001513BC">
        <w:t>a court door plea would normally carry</w:t>
      </w:r>
      <w:r w:rsidR="000C4B3B" w:rsidRPr="001513BC">
        <w:t xml:space="preserve"> </w:t>
      </w:r>
      <w:r w:rsidRPr="001513BC">
        <w:t>because</w:t>
      </w:r>
      <w:r w:rsidR="000C4B3B" w:rsidRPr="001513BC">
        <w:t>,</w:t>
      </w:r>
      <w:r w:rsidRPr="001513BC">
        <w:t xml:space="preserve"> as I indicated at the time</w:t>
      </w:r>
      <w:r w:rsidR="000C4B3B" w:rsidRPr="001513BC">
        <w:t xml:space="preserve"> that Mr </w:t>
      </w:r>
      <w:r w:rsidR="00C9304A" w:rsidRPr="001513BC">
        <w:t>Ciceli</w:t>
      </w:r>
      <w:r w:rsidRPr="001513BC">
        <w:t xml:space="preserve"> was arr</w:t>
      </w:r>
      <w:r w:rsidR="000C4B3B" w:rsidRPr="001513BC">
        <w:t>aigned and gave his undertaking that that</w:t>
      </w:r>
      <w:r w:rsidRPr="001513BC">
        <w:t xml:space="preserve"> should lead to a re-evaluat</w:t>
      </w:r>
      <w:r w:rsidR="000C4B3B" w:rsidRPr="001513BC">
        <w:t>ion by you and your legal adviso</w:t>
      </w:r>
      <w:r w:rsidRPr="001513BC">
        <w:t xml:space="preserve">rs of the strength of the prosecution </w:t>
      </w:r>
      <w:r w:rsidRPr="001513BC">
        <w:lastRenderedPageBreak/>
        <w:t xml:space="preserve">case against you. </w:t>
      </w:r>
      <w:r w:rsidR="000C4B3B" w:rsidRPr="001513BC">
        <w:t xml:space="preserve"> </w:t>
      </w:r>
      <w:r w:rsidRPr="001513BC">
        <w:t xml:space="preserve">It is therefore a pragmatic acceptance of the strength of the case, but one which only obtained that added strength after Mr </w:t>
      </w:r>
      <w:r w:rsidR="00C9304A" w:rsidRPr="001513BC">
        <w:t>Ciceli</w:t>
      </w:r>
      <w:r w:rsidR="000A775B" w:rsidRPr="001513BC">
        <w:t xml:space="preserve"> had</w:t>
      </w:r>
      <w:r w:rsidRPr="001513BC">
        <w:t xml:space="preserve"> agre</w:t>
      </w:r>
      <w:r w:rsidR="000A775B" w:rsidRPr="001513BC">
        <w:t>ed to give evidence against you and given his undertaking.</w:t>
      </w:r>
    </w:p>
    <w:p w:rsidR="00164E01" w:rsidRPr="001513BC" w:rsidRDefault="000A775B" w:rsidP="003E08DB">
      <w:pPr>
        <w:pStyle w:val="Heading1"/>
      </w:pPr>
      <w:r w:rsidRPr="001513BC">
        <w:t>Following the hearing of the plea, the foreshadowed forfeiture application in respect of the money and the computer and electronic devices seized at your house has been made.  It relates, not only to the $10,100 found in your house, but also a computer tower, a memory drive, a mobile phone and SIM card, three flash mem</w:t>
      </w:r>
      <w:r w:rsidR="00C40A48" w:rsidRPr="001513BC">
        <w:t>ory drives and an external hard drive.  T</w:t>
      </w:r>
      <w:r w:rsidRPr="001513BC">
        <w:t xml:space="preserve">hey are all obviously items of some value.  You have now consented to the making of a forfeiture order in respect of that electronic equipment and the cash.  </w:t>
      </w:r>
    </w:p>
    <w:p w:rsidR="000A775B" w:rsidRPr="001513BC" w:rsidRDefault="000A775B" w:rsidP="003E08DB">
      <w:pPr>
        <w:pStyle w:val="Heading1"/>
      </w:pPr>
      <w:r w:rsidRPr="001513BC">
        <w:t xml:space="preserve">I take into account first that there is likely hardship to you, by reason of the forfeiture of those items, which, apart from the money, clearly had legitimate uses other than use for the importation of the drugs and also the fact that the consent to the forfeiture order indicates a co-operation with the authorities, consistent with the plea of guilty. </w:t>
      </w:r>
      <w:r w:rsidR="00164E01" w:rsidRPr="001513BC">
        <w:t xml:space="preserve"> </w:t>
      </w:r>
      <w:r w:rsidRPr="001513BC">
        <w:t>I consider therefore, that the consent to the forfeiture application operates to reduce the sentence otherwise appropriate</w:t>
      </w:r>
      <w:r w:rsidR="00164E01" w:rsidRPr="001513BC">
        <w:t xml:space="preserve"> and as I indicated just before I commenced reading my reasons, I have revised down the sentence that I had actually proposed to pass on you, as a result of that added information.  </w:t>
      </w:r>
      <w:r w:rsidRPr="001513BC">
        <w:t xml:space="preserve">      </w:t>
      </w:r>
    </w:p>
    <w:p w:rsidR="008861F4" w:rsidRPr="001513BC" w:rsidRDefault="008861F4" w:rsidP="003E08DB">
      <w:pPr>
        <w:pStyle w:val="Heading1"/>
      </w:pPr>
      <w:r w:rsidRPr="001513BC">
        <w:t>As the prosecution rightly submitted,</w:t>
      </w:r>
      <w:r w:rsidR="00160D63" w:rsidRPr="001513BC">
        <w:t xml:space="preserve"> importation</w:t>
      </w:r>
      <w:r w:rsidR="00C40A48" w:rsidRPr="001513BC">
        <w:t>s</w:t>
      </w:r>
      <w:r w:rsidR="00160D63" w:rsidRPr="001513BC">
        <w:t xml:space="preserve"> of marketable quantities of border controlled drugs are serious offences. </w:t>
      </w:r>
      <w:r w:rsidR="005773A7" w:rsidRPr="001513BC">
        <w:t xml:space="preserve"> </w:t>
      </w:r>
      <w:r w:rsidR="00160D63" w:rsidRPr="001513BC">
        <w:t>One measure of the seriousness is the</w:t>
      </w:r>
      <w:r w:rsidR="005773A7" w:rsidRPr="001513BC">
        <w:t xml:space="preserve"> maximum penalty prescribed by P</w:t>
      </w:r>
      <w:r w:rsidR="00160D63" w:rsidRPr="001513BC">
        <w:t>arliament</w:t>
      </w:r>
      <w:r w:rsidR="005773A7" w:rsidRPr="001513BC">
        <w:t>,</w:t>
      </w:r>
      <w:r w:rsidR="00160D63" w:rsidRPr="001513BC">
        <w:t xml:space="preserve"> namely 25 years</w:t>
      </w:r>
      <w:r w:rsidR="005773A7" w:rsidRPr="001513BC">
        <w:t>'</w:t>
      </w:r>
      <w:r w:rsidR="00160D63" w:rsidRPr="001513BC">
        <w:t xml:space="preserve"> imprisonment or a fine of $850,000. </w:t>
      </w:r>
      <w:r w:rsidR="005773A7" w:rsidRPr="001513BC">
        <w:t xml:space="preserve"> </w:t>
      </w:r>
      <w:r w:rsidR="00160D63" w:rsidRPr="001513BC">
        <w:t>The seriousness of the offending can also be measured</w:t>
      </w:r>
      <w:r w:rsidR="005773A7" w:rsidRPr="001513BC">
        <w:t>,</w:t>
      </w:r>
      <w:r w:rsidR="00160D63" w:rsidRPr="001513BC">
        <w:t xml:space="preserve"> in part</w:t>
      </w:r>
      <w:r w:rsidR="005773A7" w:rsidRPr="001513BC">
        <w:t>,</w:t>
      </w:r>
      <w:r w:rsidR="00160D63" w:rsidRPr="001513BC">
        <w:t xml:space="preserve"> by reference to the quantity of drugs</w:t>
      </w:r>
      <w:r w:rsidR="005773A7" w:rsidRPr="001513BC">
        <w:t xml:space="preserve"> imported </w:t>
      </w:r>
      <w:r w:rsidR="00160D63" w:rsidRPr="001513BC">
        <w:t>and t</w:t>
      </w:r>
      <w:r w:rsidR="00C40A48" w:rsidRPr="001513BC">
        <w:t>he amount by which they exceed</w:t>
      </w:r>
      <w:r w:rsidR="00160D63" w:rsidRPr="001513BC">
        <w:t xml:space="preserve"> the threshold for a marketable quantity. </w:t>
      </w:r>
      <w:r w:rsidR="005773A7" w:rsidRPr="001513BC">
        <w:t xml:space="preserve"> </w:t>
      </w:r>
      <w:r w:rsidR="00160D63" w:rsidRPr="001513BC">
        <w:t xml:space="preserve">The amount of MDMA imported as a result of the circumstances of both </w:t>
      </w:r>
      <w:r w:rsidR="005773A7" w:rsidRPr="001513BC">
        <w:t>the importation charges</w:t>
      </w:r>
      <w:r w:rsidR="00160D63" w:rsidRPr="001513BC">
        <w:t xml:space="preserve"> was 54 </w:t>
      </w:r>
      <w:r w:rsidR="005773A7" w:rsidRPr="001513BC">
        <w:t>times the marketable quantity.  That compares</w:t>
      </w:r>
      <w:r w:rsidR="00160D63" w:rsidRPr="001513BC">
        <w:t xml:space="preserve"> to 40 times the marketable quantity for your co-offender</w:t>
      </w:r>
      <w:r w:rsidR="005773A7" w:rsidRPr="001513BC">
        <w:t>,</w:t>
      </w:r>
      <w:r w:rsidR="00160D63" w:rsidRPr="001513BC">
        <w:t xml:space="preserve"> Mr </w:t>
      </w:r>
      <w:r w:rsidR="00C9304A" w:rsidRPr="001513BC">
        <w:t>Ciceli</w:t>
      </w:r>
      <w:r w:rsidR="005773A7" w:rsidRPr="001513BC">
        <w:t>,</w:t>
      </w:r>
      <w:r w:rsidR="00160D63" w:rsidRPr="001513BC">
        <w:t xml:space="preserve"> in respect of his equivalent </w:t>
      </w:r>
      <w:r w:rsidR="005773A7" w:rsidRPr="001513BC">
        <w:t>charge to your Charge 3</w:t>
      </w:r>
      <w:r w:rsidR="00160D63" w:rsidRPr="001513BC">
        <w:t>.</w:t>
      </w:r>
      <w:r w:rsidR="005773A7" w:rsidRPr="001513BC">
        <w:t xml:space="preserve">  </w:t>
      </w:r>
      <w:r w:rsidR="00160D63" w:rsidRPr="001513BC">
        <w:t xml:space="preserve">The amount of methamphetamine </w:t>
      </w:r>
      <w:r w:rsidR="005773A7" w:rsidRPr="001513BC">
        <w:lastRenderedPageBreak/>
        <w:t xml:space="preserve">imported </w:t>
      </w:r>
      <w:r w:rsidR="00160D63" w:rsidRPr="001513BC">
        <w:t>was 29</w:t>
      </w:r>
      <w:r w:rsidR="005773A7" w:rsidRPr="001513BC">
        <w:t xml:space="preserve"> times the marketable quantity.  That is </w:t>
      </w:r>
      <w:r w:rsidR="00160D63" w:rsidRPr="001513BC">
        <w:t xml:space="preserve">the same as that relating to Mr </w:t>
      </w:r>
      <w:r w:rsidR="00C9304A" w:rsidRPr="001513BC">
        <w:t>Ciceli</w:t>
      </w:r>
      <w:r w:rsidR="005773A7" w:rsidRPr="001513BC">
        <w:t xml:space="preserve"> in </w:t>
      </w:r>
      <w:r w:rsidR="00160D63" w:rsidRPr="001513BC">
        <w:t xml:space="preserve">his equivalent of </w:t>
      </w:r>
      <w:r w:rsidR="005773A7" w:rsidRPr="001513BC">
        <w:t>your C</w:t>
      </w:r>
      <w:r w:rsidR="00C40A48" w:rsidRPr="001513BC">
        <w:t>harge 3.  I</w:t>
      </w:r>
      <w:r w:rsidR="00160D63" w:rsidRPr="001513BC">
        <w:t xml:space="preserve">n your case, arising out of the </w:t>
      </w:r>
      <w:r w:rsidR="005773A7" w:rsidRPr="001513BC">
        <w:t>circumstances of Charge 2,</w:t>
      </w:r>
      <w:r w:rsidR="00160D63" w:rsidRPr="001513BC">
        <w:t xml:space="preserve"> there i</w:t>
      </w:r>
      <w:r w:rsidR="005773A7" w:rsidRPr="001513BC">
        <w:t>s also an amount of amphetamine which is six</w:t>
      </w:r>
      <w:r w:rsidR="00160D63" w:rsidRPr="001513BC">
        <w:t xml:space="preserve"> times the marketable quantity.</w:t>
      </w:r>
    </w:p>
    <w:p w:rsidR="00035D31" w:rsidRPr="001513BC" w:rsidRDefault="00035D31" w:rsidP="003E08DB">
      <w:pPr>
        <w:pStyle w:val="Heading1"/>
      </w:pPr>
      <w:r w:rsidRPr="001513BC">
        <w:t>Although your instructions as put to me on the plea</w:t>
      </w:r>
      <w:r w:rsidR="005773A7" w:rsidRPr="001513BC">
        <w:t xml:space="preserve"> </w:t>
      </w:r>
      <w:r w:rsidRPr="001513BC">
        <w:t>that you were, yourself</w:t>
      </w:r>
      <w:r w:rsidR="005773A7" w:rsidRPr="001513BC">
        <w:t>,</w:t>
      </w:r>
      <w:r w:rsidR="005773A7" w:rsidRPr="001513BC">
        <w:br/>
      </w:r>
      <w:r w:rsidR="005F76FA" w:rsidRPr="001513BC">
        <w:t>a user of methamphetamine, it was acknowledged that this</w:t>
      </w:r>
      <w:r w:rsidRPr="001513BC">
        <w:t xml:space="preserve"> was a commercial operation </w:t>
      </w:r>
      <w:r w:rsidR="005F76FA" w:rsidRPr="001513BC">
        <w:t xml:space="preserve">that </w:t>
      </w:r>
      <w:r w:rsidRPr="001513BC">
        <w:t xml:space="preserve">you </w:t>
      </w:r>
      <w:r w:rsidR="005F76FA" w:rsidRPr="001513BC">
        <w:t xml:space="preserve">had </w:t>
      </w:r>
      <w:r w:rsidRPr="001513BC">
        <w:t>engage</w:t>
      </w:r>
      <w:r w:rsidR="00904D4A" w:rsidRPr="001513BC">
        <w:t xml:space="preserve">d in. </w:t>
      </w:r>
      <w:r w:rsidR="005F76FA" w:rsidRPr="001513BC">
        <w:t xml:space="preserve"> </w:t>
      </w:r>
      <w:r w:rsidR="00904D4A" w:rsidRPr="001513BC">
        <w:t xml:space="preserve">That is, that even </w:t>
      </w:r>
      <w:r w:rsidR="005F76FA" w:rsidRPr="001513BC">
        <w:t>i</w:t>
      </w:r>
      <w:r w:rsidR="00904D4A" w:rsidRPr="001513BC">
        <w:t>f you were using some of what was received, or intended to use some of what you</w:t>
      </w:r>
      <w:r w:rsidR="005F76FA" w:rsidRPr="001513BC">
        <w:t xml:space="preserve"> had</w:t>
      </w:r>
      <w:r w:rsidR="00904D4A" w:rsidRPr="001513BC">
        <w:t xml:space="preserve"> ordered for your own use, you intended</w:t>
      </w:r>
      <w:r w:rsidR="005F76FA" w:rsidRPr="001513BC">
        <w:t xml:space="preserve"> to supply the drugs to others</w:t>
      </w:r>
      <w:r w:rsidR="00C40A48" w:rsidRPr="001513BC">
        <w:t>,</w:t>
      </w:r>
      <w:r w:rsidR="005F76FA" w:rsidRPr="001513BC">
        <w:t xml:space="preserve"> </w:t>
      </w:r>
      <w:r w:rsidR="00904D4A" w:rsidRPr="001513BC">
        <w:t xml:space="preserve">and for profit as well. </w:t>
      </w:r>
      <w:r w:rsidR="005F76FA" w:rsidRPr="001513BC">
        <w:t xml:space="preserve"> </w:t>
      </w:r>
      <w:r w:rsidR="00904D4A" w:rsidRPr="001513BC">
        <w:t>As the material</w:t>
      </w:r>
      <w:r w:rsidR="005F76FA" w:rsidRPr="001513BC">
        <w:t>s</w:t>
      </w:r>
      <w:r w:rsidR="00904D4A" w:rsidRPr="001513BC">
        <w:t xml:space="preserve"> found at your home revealed, you </w:t>
      </w:r>
      <w:r w:rsidR="005F76FA" w:rsidRPr="001513BC">
        <w:t xml:space="preserve">had set up accounts for Silk Road and Bitcoin and had that large amount of cash </w:t>
      </w:r>
      <w:r w:rsidR="00904D4A" w:rsidRPr="001513BC">
        <w:t>concealed in your home.</w:t>
      </w:r>
      <w:r w:rsidR="00B54CA5" w:rsidRPr="001513BC">
        <w:t xml:space="preserve"> </w:t>
      </w:r>
      <w:r w:rsidR="005F76FA" w:rsidRPr="001513BC">
        <w:t>This was at a time, as I was told, you were unemployed</w:t>
      </w:r>
      <w:r w:rsidR="00B54CA5" w:rsidRPr="001513BC">
        <w:t>.</w:t>
      </w:r>
      <w:r w:rsidR="005F76FA" w:rsidRPr="001513BC">
        <w:t xml:space="preserve">  The </w:t>
      </w:r>
      <w:bookmarkStart w:id="23" w:name="_GoBack"/>
      <w:r w:rsidR="005F76FA" w:rsidRPr="001513BC">
        <w:t>traffick</w:t>
      </w:r>
      <w:bookmarkEnd w:id="23"/>
      <w:r w:rsidR="005F76FA" w:rsidRPr="001513BC">
        <w:t xml:space="preserve">ing, too, clearly has a commercial aspect to it.  </w:t>
      </w:r>
      <w:r w:rsidR="00B54CA5" w:rsidRPr="001513BC">
        <w:t xml:space="preserve"> </w:t>
      </w:r>
    </w:p>
    <w:p w:rsidR="00B54CA5" w:rsidRPr="001513BC" w:rsidRDefault="005F76FA" w:rsidP="003E08DB">
      <w:pPr>
        <w:pStyle w:val="Heading1"/>
      </w:pPr>
      <w:r w:rsidRPr="001513BC">
        <w:t>A p</w:t>
      </w:r>
      <w:r w:rsidR="00B54CA5" w:rsidRPr="001513BC">
        <w:t>erson who engages in a course of conduct involving the importation of  marketable quanti</w:t>
      </w:r>
      <w:r w:rsidRPr="001513BC">
        <w:t>ties of border controlled drugs and who engages in trafficking drug of dependence for profit</w:t>
      </w:r>
      <w:r w:rsidR="00491C6C" w:rsidRPr="001513BC">
        <w:t xml:space="preserve"> and </w:t>
      </w:r>
      <w:r w:rsidRPr="001513BC">
        <w:t>so far as the importations are concerned, using the subte</w:t>
      </w:r>
      <w:r w:rsidR="00491C6C" w:rsidRPr="001513BC">
        <w:t xml:space="preserve">rfuges </w:t>
      </w:r>
      <w:r w:rsidRPr="001513BC">
        <w:t xml:space="preserve">that </w:t>
      </w:r>
      <w:r w:rsidR="00491C6C" w:rsidRPr="001513BC">
        <w:t xml:space="preserve">you </w:t>
      </w:r>
      <w:r w:rsidRPr="001513BC">
        <w:t>used, the encrypted websites, payment by B</w:t>
      </w:r>
      <w:r w:rsidR="00E100D5" w:rsidRPr="001513BC">
        <w:t>itcoin and arranging for deliv</w:t>
      </w:r>
      <w:r w:rsidR="00491C6C" w:rsidRPr="001513BC">
        <w:t xml:space="preserve">eries to names or addresses other than </w:t>
      </w:r>
      <w:r w:rsidR="00E100D5" w:rsidRPr="001513BC">
        <w:t>your</w:t>
      </w:r>
      <w:r w:rsidR="00491C6C" w:rsidRPr="001513BC">
        <w:t xml:space="preserve"> own, </w:t>
      </w:r>
      <w:r w:rsidR="00B54CA5" w:rsidRPr="001513BC">
        <w:t xml:space="preserve"> will usually be required to serve a </w:t>
      </w:r>
      <w:r w:rsidR="00491C6C" w:rsidRPr="001513BC">
        <w:t xml:space="preserve">substantial </w:t>
      </w:r>
      <w:r w:rsidR="00B54CA5" w:rsidRPr="001513BC">
        <w:t xml:space="preserve">custodial sentence.  </w:t>
      </w:r>
    </w:p>
    <w:p w:rsidR="003736CC" w:rsidRPr="001513BC" w:rsidRDefault="009429BF" w:rsidP="009429BF">
      <w:pPr>
        <w:pStyle w:val="Heading1"/>
        <w:rPr>
          <w:strike/>
        </w:rPr>
      </w:pPr>
      <w:r w:rsidRPr="001513BC">
        <w:t>G</w:t>
      </w:r>
      <w:r w:rsidR="003736CC" w:rsidRPr="001513BC">
        <w:t>eneral deterrence must be given significant weight</w:t>
      </w:r>
      <w:r w:rsidRPr="001513BC">
        <w:t xml:space="preserve"> in this case</w:t>
      </w:r>
      <w:r w:rsidR="003736CC" w:rsidRPr="001513BC">
        <w:t>. The sentence</w:t>
      </w:r>
      <w:r w:rsidRPr="001513BC">
        <w:t>s</w:t>
      </w:r>
      <w:r w:rsidR="003736CC" w:rsidRPr="001513BC">
        <w:t xml:space="preserve"> for those caught engaged in the importation</w:t>
      </w:r>
      <w:r w:rsidR="00E100D5" w:rsidRPr="001513BC">
        <w:t xml:space="preserve"> of</w:t>
      </w:r>
      <w:r w:rsidR="003736CC" w:rsidRPr="001513BC">
        <w:t xml:space="preserve"> border controlled substances </w:t>
      </w:r>
      <w:r w:rsidR="00E100D5" w:rsidRPr="001513BC">
        <w:t xml:space="preserve">and in the trafficking of drugs of dependence, </w:t>
      </w:r>
      <w:r w:rsidR="003736CC" w:rsidRPr="001513BC">
        <w:t xml:space="preserve">must be sufficiently severe to deter those who might otherwise be tempted to become involved in such activities. </w:t>
      </w:r>
      <w:r w:rsidR="00E100D5" w:rsidRPr="001513BC">
        <w:t xml:space="preserve"> </w:t>
      </w:r>
      <w:r w:rsidR="003736CC" w:rsidRPr="001513BC">
        <w:t>The financial reward</w:t>
      </w:r>
      <w:r w:rsidR="00E100D5" w:rsidRPr="001513BC">
        <w:t>s, whether they</w:t>
      </w:r>
      <w:r w:rsidR="003736CC" w:rsidRPr="001513BC">
        <w:t xml:space="preserve"> be by way of offsetting the cost of the purchase of their own drugs</w:t>
      </w:r>
      <w:r w:rsidR="00E100D5" w:rsidRPr="001513BC">
        <w:t>, or</w:t>
      </w:r>
      <w:r w:rsidR="003736CC" w:rsidRPr="001513BC">
        <w:t xml:space="preserve"> by selling to others, or </w:t>
      </w:r>
      <w:r w:rsidR="00E100D5" w:rsidRPr="001513BC">
        <w:t xml:space="preserve">by </w:t>
      </w:r>
      <w:r w:rsidR="003736CC" w:rsidRPr="001513BC">
        <w:t xml:space="preserve">making </w:t>
      </w:r>
      <w:r w:rsidR="00E100D5" w:rsidRPr="001513BC">
        <w:br/>
      </w:r>
      <w:r w:rsidR="003736CC" w:rsidRPr="001513BC">
        <w:t>a profit over and above that, must not</w:t>
      </w:r>
      <w:r w:rsidR="00E100D5" w:rsidRPr="001513BC">
        <w:t xml:space="preserve"> be seen or perceived to</w:t>
      </w:r>
      <w:r w:rsidR="003736CC" w:rsidRPr="001513BC">
        <w:t xml:space="preserve"> outweigh the risk of punishment. </w:t>
      </w:r>
      <w:r w:rsidR="00E100D5" w:rsidRPr="001513BC">
        <w:t xml:space="preserve"> </w:t>
      </w:r>
      <w:r w:rsidR="00C40A48" w:rsidRPr="001513BC">
        <w:t>The s</w:t>
      </w:r>
      <w:r w:rsidR="003736CC" w:rsidRPr="001513BC">
        <w:t>entence must be sufficient to deter</w:t>
      </w:r>
      <w:r w:rsidR="00E100D5" w:rsidRPr="001513BC">
        <w:t xml:space="preserve"> other</w:t>
      </w:r>
      <w:r w:rsidR="003736CC" w:rsidRPr="001513BC">
        <w:t xml:space="preserve"> people from taking the risk</w:t>
      </w:r>
      <w:r w:rsidR="00E100D5" w:rsidRPr="001513BC">
        <w:t>s that</w:t>
      </w:r>
      <w:r w:rsidR="00C40A48" w:rsidRPr="001513BC">
        <w:t xml:space="preserve"> you did</w:t>
      </w:r>
      <w:r w:rsidR="00D93452" w:rsidRPr="001513BC">
        <w:t>.</w:t>
      </w:r>
    </w:p>
    <w:p w:rsidR="00491C6C" w:rsidRPr="001513BC" w:rsidRDefault="00EC494C" w:rsidP="00E100D5">
      <w:pPr>
        <w:pStyle w:val="Heading1"/>
      </w:pPr>
      <w:r w:rsidRPr="001513BC">
        <w:lastRenderedPageBreak/>
        <w:t>Ms Swan</w:t>
      </w:r>
      <w:r w:rsidR="00491C6C" w:rsidRPr="001513BC">
        <w:t xml:space="preserve"> acknowledged </w:t>
      </w:r>
      <w:r w:rsidR="00E100D5" w:rsidRPr="001513BC">
        <w:t>in the course of the plea, that</w:t>
      </w:r>
      <w:r w:rsidR="00491C6C" w:rsidRPr="001513BC">
        <w:t xml:space="preserve"> in most cases, </w:t>
      </w:r>
      <w:r w:rsidR="00E100D5" w:rsidRPr="001513BC">
        <w:br/>
      </w:r>
      <w:r w:rsidR="00491C6C" w:rsidRPr="001513BC">
        <w:t xml:space="preserve">a custodial sentence was inevitable, but submitted that </w:t>
      </w:r>
      <w:r w:rsidR="00E100D5" w:rsidRPr="001513BC">
        <w:t xml:space="preserve">it </w:t>
      </w:r>
      <w:r w:rsidR="00491C6C" w:rsidRPr="001513BC">
        <w:t>was not so in your case.</w:t>
      </w:r>
      <w:r w:rsidR="00E100D5" w:rsidRPr="001513BC">
        <w:t xml:space="preserve">  </w:t>
      </w:r>
      <w:r w:rsidR="009429BF" w:rsidRPr="001513BC">
        <w:t>Sh</w:t>
      </w:r>
      <w:r w:rsidR="00491C6C" w:rsidRPr="001513BC">
        <w:t>e relied on the following matters</w:t>
      </w:r>
      <w:r w:rsidR="009C269E" w:rsidRPr="001513BC">
        <w:t xml:space="preserve">: </w:t>
      </w:r>
      <w:r w:rsidR="00E100D5" w:rsidRPr="001513BC">
        <w:t xml:space="preserve"> </w:t>
      </w:r>
      <w:r w:rsidR="00491C6C" w:rsidRPr="001513BC">
        <w:t xml:space="preserve">Parity, </w:t>
      </w:r>
      <w:r w:rsidR="00E100D5" w:rsidRPr="001513BC">
        <w:t xml:space="preserve">exceptional hardship </w:t>
      </w:r>
      <w:r w:rsidR="009C269E" w:rsidRPr="001513BC">
        <w:t>and the impact of delay.</w:t>
      </w:r>
    </w:p>
    <w:p w:rsidR="00B54CA5" w:rsidRPr="001513BC" w:rsidRDefault="00E100D5" w:rsidP="003E08DB">
      <w:pPr>
        <w:pStyle w:val="Heading1"/>
      </w:pPr>
      <w:r w:rsidRPr="001513BC">
        <w:t xml:space="preserve">So far as parity is concerned, </w:t>
      </w:r>
      <w:r w:rsidR="00865EE7" w:rsidRPr="001513BC">
        <w:t>s</w:t>
      </w:r>
      <w:r w:rsidRPr="001513BC">
        <w:t>h</w:t>
      </w:r>
      <w:r w:rsidR="009C269E" w:rsidRPr="001513BC">
        <w:t>e submitted t</w:t>
      </w:r>
      <w:r w:rsidRPr="001513BC">
        <w:t>hat t</w:t>
      </w:r>
      <w:r w:rsidR="009C269E" w:rsidRPr="001513BC">
        <w:t>he similarities in yo</w:t>
      </w:r>
      <w:r w:rsidRPr="001513BC">
        <w:t>ur circumstances and those of Mr</w:t>
      </w:r>
      <w:r w:rsidR="009C269E" w:rsidRPr="001513BC">
        <w:t xml:space="preserve"> </w:t>
      </w:r>
      <w:r w:rsidR="00C9304A" w:rsidRPr="001513BC">
        <w:t>Ciceli</w:t>
      </w:r>
      <w:r w:rsidRPr="001513BC">
        <w:t>,</w:t>
      </w:r>
      <w:r w:rsidR="009C269E" w:rsidRPr="001513BC">
        <w:t xml:space="preserve"> outweighed the differences</w:t>
      </w:r>
      <w:r w:rsidRPr="001513BC">
        <w:t xml:space="preserve"> in your circumstances</w:t>
      </w:r>
      <w:r w:rsidR="009C269E" w:rsidRPr="001513BC">
        <w:t xml:space="preserve">. </w:t>
      </w:r>
      <w:r w:rsidRPr="001513BC">
        <w:t xml:space="preserve"> </w:t>
      </w:r>
      <w:r w:rsidR="009C269E" w:rsidRPr="001513BC">
        <w:t xml:space="preserve">You were both </w:t>
      </w:r>
      <w:r w:rsidRPr="001513BC">
        <w:t>men of about the same age, late-</w:t>
      </w:r>
      <w:r w:rsidR="009C269E" w:rsidRPr="001513BC">
        <w:t xml:space="preserve">30s or </w:t>
      </w:r>
      <w:r w:rsidRPr="001513BC">
        <w:br/>
      </w:r>
      <w:r w:rsidR="009C269E" w:rsidRPr="001513BC">
        <w:t>ear</w:t>
      </w:r>
      <w:r w:rsidRPr="001513BC">
        <w:t>ly-</w:t>
      </w:r>
      <w:r w:rsidR="009C269E" w:rsidRPr="001513BC">
        <w:t xml:space="preserve">40s. </w:t>
      </w:r>
      <w:r w:rsidRPr="001513BC">
        <w:t xml:space="preserve"> N</w:t>
      </w:r>
      <w:r w:rsidR="009C269E" w:rsidRPr="001513BC">
        <w:t>either of you hav</w:t>
      </w:r>
      <w:r w:rsidRPr="001513BC">
        <w:t>e</w:t>
      </w:r>
      <w:r w:rsidR="009C269E" w:rsidRPr="001513BC">
        <w:t xml:space="preserve"> any</w:t>
      </w:r>
      <w:r w:rsidR="00197142" w:rsidRPr="001513BC">
        <w:t xml:space="preserve"> significant or relevant prior convictions or subsequent convictions.</w:t>
      </w:r>
      <w:r w:rsidR="009C269E" w:rsidRPr="001513BC">
        <w:t xml:space="preserve"> </w:t>
      </w:r>
      <w:r w:rsidR="00197142" w:rsidRPr="001513BC">
        <w:t xml:space="preserve"> Both of you had</w:t>
      </w:r>
      <w:r w:rsidR="009C269E" w:rsidRPr="001513BC">
        <w:t xml:space="preserve"> fallen victim to the disappearance of t</w:t>
      </w:r>
      <w:r w:rsidR="00197142" w:rsidRPr="001513BC">
        <w:t>he manufacturing industry in this area</w:t>
      </w:r>
      <w:r w:rsidR="009C269E" w:rsidRPr="001513BC">
        <w:t xml:space="preserve"> and had found yourselves</w:t>
      </w:r>
      <w:r w:rsidR="00197142" w:rsidRPr="001513BC">
        <w:t>, after extended periods of employment from leaving school until your 30s,</w:t>
      </w:r>
      <w:r w:rsidR="009C269E" w:rsidRPr="001513BC">
        <w:t xml:space="preserve"> unemployed and idle. </w:t>
      </w:r>
      <w:r w:rsidR="00197142" w:rsidRPr="001513BC">
        <w:t xml:space="preserve"> </w:t>
      </w:r>
      <w:r w:rsidR="009C269E" w:rsidRPr="001513BC">
        <w:t xml:space="preserve">Both had, in the circumstances of the inexcusable </w:t>
      </w:r>
      <w:r w:rsidR="00197142" w:rsidRPr="001513BC">
        <w:t>two and a half</w:t>
      </w:r>
      <w:r w:rsidR="009C269E" w:rsidRPr="001513BC">
        <w:t xml:space="preserve"> yea</w:t>
      </w:r>
      <w:r w:rsidR="00197142" w:rsidRPr="001513BC">
        <w:t>r delay by the prosecution in</w:t>
      </w:r>
      <w:r w:rsidR="009C269E" w:rsidRPr="001513BC">
        <w:t xml:space="preserve"> bringing the charges after the execution of the warrants, addressed your substa</w:t>
      </w:r>
      <w:r w:rsidR="00197142" w:rsidRPr="001513BC">
        <w:t>n</w:t>
      </w:r>
      <w:r w:rsidR="009C269E" w:rsidRPr="001513BC">
        <w:t xml:space="preserve">ce use and </w:t>
      </w:r>
      <w:r w:rsidR="00197142" w:rsidRPr="001513BC">
        <w:t xml:space="preserve">had </w:t>
      </w:r>
      <w:r w:rsidR="009C269E" w:rsidRPr="001513BC">
        <w:t>returned to living useful and productive lives</w:t>
      </w:r>
      <w:r w:rsidR="0047498B" w:rsidRPr="001513BC">
        <w:t xml:space="preserve">. </w:t>
      </w:r>
      <w:r w:rsidR="00197142" w:rsidRPr="001513BC">
        <w:t xml:space="preserve"> </w:t>
      </w:r>
      <w:r w:rsidR="0047498B" w:rsidRPr="001513BC">
        <w:t>In other words, that both had used the delay</w:t>
      </w:r>
      <w:r w:rsidR="00197142" w:rsidRPr="001513BC">
        <w:t>, despite the oppression of having the matters hanging unresolved over your heads,</w:t>
      </w:r>
      <w:r w:rsidR="0047498B" w:rsidRPr="001513BC">
        <w:t xml:space="preserve"> to rehabilitate yourselves.</w:t>
      </w:r>
    </w:p>
    <w:p w:rsidR="0047498B" w:rsidRPr="001513BC" w:rsidRDefault="00EC494C" w:rsidP="003E08DB">
      <w:pPr>
        <w:pStyle w:val="Heading1"/>
      </w:pPr>
      <w:r w:rsidRPr="001513BC">
        <w:t>Ms Swan</w:t>
      </w:r>
      <w:r w:rsidR="0047498B" w:rsidRPr="001513BC">
        <w:t xml:space="preserve"> acknowledged that the roles played </w:t>
      </w:r>
      <w:r w:rsidR="00197142" w:rsidRPr="001513BC">
        <w:t xml:space="preserve">by you and Mr </w:t>
      </w:r>
      <w:r w:rsidR="00C9304A" w:rsidRPr="001513BC">
        <w:t>Ciceli</w:t>
      </w:r>
      <w:r w:rsidR="00197142" w:rsidRPr="001513BC">
        <w:t xml:space="preserve"> were different, that you were the principal, </w:t>
      </w:r>
      <w:r w:rsidR="0047498B" w:rsidRPr="001513BC">
        <w:t xml:space="preserve">that your offending was more widespread and occurred over a longer period. </w:t>
      </w:r>
      <w:r w:rsidR="00197142" w:rsidRPr="001513BC">
        <w:t xml:space="preserve"> </w:t>
      </w:r>
      <w:r w:rsidR="00865EE7" w:rsidRPr="001513BC">
        <w:t>Sh</w:t>
      </w:r>
      <w:r w:rsidR="0047498B" w:rsidRPr="001513BC">
        <w:t xml:space="preserve">e acknowledged that </w:t>
      </w:r>
      <w:r w:rsidR="00197142" w:rsidRPr="001513BC">
        <w:br/>
      </w:r>
      <w:r w:rsidR="0047498B" w:rsidRPr="001513BC">
        <w:t xml:space="preserve">Mr </w:t>
      </w:r>
      <w:r w:rsidR="00C9304A" w:rsidRPr="001513BC">
        <w:t>Ciceli</w:t>
      </w:r>
      <w:r w:rsidR="0047498B" w:rsidRPr="001513BC">
        <w:t xml:space="preserve"> had made admissions, m</w:t>
      </w:r>
      <w:r w:rsidR="00197142" w:rsidRPr="001513BC">
        <w:t>ade a statement implicating you and given his</w:t>
      </w:r>
      <w:r w:rsidR="0047498B" w:rsidRPr="001513BC">
        <w:t xml:space="preserve"> undertaking, </w:t>
      </w:r>
      <w:r w:rsidR="00197142" w:rsidRPr="001513BC">
        <w:t>all of which had to be reflected in a lesser</w:t>
      </w:r>
      <w:r w:rsidR="0047498B" w:rsidRPr="001513BC">
        <w:t xml:space="preserve"> sentence</w:t>
      </w:r>
      <w:r w:rsidR="00C40A48" w:rsidRPr="001513BC">
        <w:t xml:space="preserve"> for him.  </w:t>
      </w:r>
      <w:r w:rsidR="00865EE7" w:rsidRPr="001513BC">
        <w:t>Sh</w:t>
      </w:r>
      <w:r w:rsidR="00197142" w:rsidRPr="001513BC">
        <w:t xml:space="preserve">e acknowledged that your guilty plea was </w:t>
      </w:r>
      <w:r w:rsidR="00060313" w:rsidRPr="001513BC">
        <w:t xml:space="preserve">made </w:t>
      </w:r>
      <w:r w:rsidR="00197142" w:rsidRPr="001513BC">
        <w:t>later</w:t>
      </w:r>
      <w:r w:rsidR="0047498B" w:rsidRPr="001513BC">
        <w:t xml:space="preserve"> and precipitated by the undertaking given by Mr </w:t>
      </w:r>
      <w:r w:rsidR="00C9304A" w:rsidRPr="001513BC">
        <w:t>Ciceli</w:t>
      </w:r>
      <w:r w:rsidR="00197142" w:rsidRPr="001513BC">
        <w:t xml:space="preserve"> to give evidence against you</w:t>
      </w:r>
      <w:r w:rsidR="0047498B" w:rsidRPr="001513BC">
        <w:t>.</w:t>
      </w:r>
    </w:p>
    <w:p w:rsidR="0047498B" w:rsidRPr="001513BC" w:rsidRDefault="0047498B" w:rsidP="003E08DB">
      <w:pPr>
        <w:pStyle w:val="Heading1"/>
      </w:pPr>
      <w:r w:rsidRPr="001513BC">
        <w:t xml:space="preserve">Those differences counting in Mr </w:t>
      </w:r>
      <w:r w:rsidR="00C9304A" w:rsidRPr="001513BC">
        <w:t>Ciceli</w:t>
      </w:r>
      <w:r w:rsidRPr="001513BC">
        <w:t>’s favour</w:t>
      </w:r>
      <w:r w:rsidR="00197142" w:rsidRPr="001513BC">
        <w:t>,</w:t>
      </w:r>
      <w:r w:rsidRPr="001513BC">
        <w:t xml:space="preserve"> </w:t>
      </w:r>
      <w:r w:rsidR="00865EE7" w:rsidRPr="001513BC">
        <w:t>s</w:t>
      </w:r>
      <w:r w:rsidRPr="001513BC">
        <w:t>he submitted</w:t>
      </w:r>
      <w:r w:rsidR="00197142" w:rsidRPr="001513BC">
        <w:t>,</w:t>
      </w:r>
      <w:r w:rsidRPr="001513BC">
        <w:t xml:space="preserve"> were outweighed by the </w:t>
      </w:r>
      <w:r w:rsidR="003E6A2A" w:rsidRPr="001513BC">
        <w:t xml:space="preserve">exceptional </w:t>
      </w:r>
      <w:r w:rsidRPr="001513BC">
        <w:t>hardship which would be caused to your child</w:t>
      </w:r>
      <w:r w:rsidR="00197142" w:rsidRPr="001513BC">
        <w:t>,</w:t>
      </w:r>
      <w:r w:rsidR="003E6A2A" w:rsidRPr="001513BC">
        <w:t xml:space="preserve"> were you to be sentenced to a term of immediate imprisonment</w:t>
      </w:r>
      <w:r w:rsidR="00197142" w:rsidRPr="001513BC">
        <w:t xml:space="preserve">.  I will return to that after I have dealt with delay.  </w:t>
      </w:r>
    </w:p>
    <w:p w:rsidR="00354DC9" w:rsidRPr="001513BC" w:rsidRDefault="00197142" w:rsidP="003E08DB">
      <w:pPr>
        <w:pStyle w:val="Heading1"/>
      </w:pPr>
      <w:r w:rsidRPr="001513BC">
        <w:lastRenderedPageBreak/>
        <w:t>Delay wa</w:t>
      </w:r>
      <w:r w:rsidR="003736CC" w:rsidRPr="001513BC">
        <w:t xml:space="preserve">s a significant factor here. </w:t>
      </w:r>
      <w:r w:rsidRPr="001513BC">
        <w:t xml:space="preserve"> </w:t>
      </w:r>
      <w:r w:rsidR="003736CC" w:rsidRPr="001513BC">
        <w:t>As I</w:t>
      </w:r>
      <w:r w:rsidRPr="001513BC">
        <w:t xml:space="preserve"> have already characterised it, that two and a half </w:t>
      </w:r>
      <w:r w:rsidR="00CA3805" w:rsidRPr="001513BC">
        <w:t>year delay by the prosecution</w:t>
      </w:r>
      <w:r w:rsidR="00FC1E3D" w:rsidRPr="001513BC">
        <w:t xml:space="preserve"> </w:t>
      </w:r>
      <w:r w:rsidR="00CA3805" w:rsidRPr="001513BC">
        <w:t>in bringing the charges after the execution of the warrants</w:t>
      </w:r>
      <w:r w:rsidR="003736CC" w:rsidRPr="001513BC">
        <w:t>,</w:t>
      </w:r>
      <w:r w:rsidR="00CA3805" w:rsidRPr="001513BC">
        <w:t xml:space="preserve"> is</w:t>
      </w:r>
      <w:r w:rsidR="003736CC" w:rsidRPr="001513BC">
        <w:t xml:space="preserve"> </w:t>
      </w:r>
      <w:r w:rsidR="00CA3805" w:rsidRPr="001513BC">
        <w:t xml:space="preserve">inexcusable. </w:t>
      </w:r>
      <w:r w:rsidRPr="001513BC">
        <w:t xml:space="preserve"> </w:t>
      </w:r>
      <w:r w:rsidR="00CA3805" w:rsidRPr="001513BC">
        <w:t>Although you did not, w</w:t>
      </w:r>
      <w:r w:rsidRPr="001513BC">
        <w:t>hen</w:t>
      </w:r>
      <w:r w:rsidR="001111D3" w:rsidRPr="001513BC">
        <w:t xml:space="preserve"> questioned, make admissions, and</w:t>
      </w:r>
      <w:r w:rsidRPr="001513BC">
        <w:t xml:space="preserve"> </w:t>
      </w:r>
      <w:r w:rsidR="00CA3805" w:rsidRPr="001513BC">
        <w:t>when charged,</w:t>
      </w:r>
      <w:r w:rsidR="00354DC9" w:rsidRPr="001513BC">
        <w:t xml:space="preserve"> </w:t>
      </w:r>
      <w:r w:rsidR="00CA3805" w:rsidRPr="001513BC">
        <w:t>indicate an intention,</w:t>
      </w:r>
      <w:r w:rsidR="00354DC9" w:rsidRPr="001513BC">
        <w:t xml:space="preserve"> up</w:t>
      </w:r>
      <w:r w:rsidR="00CA3805" w:rsidRPr="001513BC">
        <w:t xml:space="preserve"> until the last minute, to contest the charges</w:t>
      </w:r>
      <w:r w:rsidR="00D93452" w:rsidRPr="001513BC">
        <w:t xml:space="preserve">, </w:t>
      </w:r>
      <w:r w:rsidR="00CA3805" w:rsidRPr="001513BC">
        <w:t xml:space="preserve">I accept that you too, although not to the same </w:t>
      </w:r>
      <w:r w:rsidR="00FC1E3D" w:rsidRPr="001513BC">
        <w:t>extent</w:t>
      </w:r>
      <w:r w:rsidR="00354DC9" w:rsidRPr="001513BC">
        <w:t xml:space="preserve"> as M</w:t>
      </w:r>
      <w:r w:rsidR="00CA3805" w:rsidRPr="001513BC">
        <w:t xml:space="preserve">r </w:t>
      </w:r>
      <w:r w:rsidR="00C9304A" w:rsidRPr="001513BC">
        <w:t>Ciceli</w:t>
      </w:r>
      <w:r w:rsidR="00354DC9" w:rsidRPr="001513BC">
        <w:t>, have had this</w:t>
      </w:r>
      <w:r w:rsidR="00CA3805" w:rsidRPr="001513BC">
        <w:t xml:space="preserve"> matter hanging over your h</w:t>
      </w:r>
      <w:r w:rsidR="00FC1E3D" w:rsidRPr="001513BC">
        <w:t>e</w:t>
      </w:r>
      <w:r w:rsidR="00354DC9" w:rsidRPr="001513BC">
        <w:t>ad f</w:t>
      </w:r>
      <w:r w:rsidR="00D93452" w:rsidRPr="001513BC">
        <w:t xml:space="preserve">or three and a half years. </w:t>
      </w:r>
      <w:r w:rsidR="00354DC9" w:rsidRPr="001513BC">
        <w:t xml:space="preserve">That is an oppression which also warrants some </w:t>
      </w:r>
      <w:r w:rsidR="00CA3805" w:rsidRPr="001513BC">
        <w:t xml:space="preserve">reduction in sentence. </w:t>
      </w:r>
    </w:p>
    <w:p w:rsidR="003736CC" w:rsidRPr="001513BC" w:rsidRDefault="00CA3805" w:rsidP="003E08DB">
      <w:pPr>
        <w:pStyle w:val="Heading1"/>
      </w:pPr>
      <w:r w:rsidRPr="001513BC">
        <w:t xml:space="preserve">More significantly, however, you have used the time well, it would appear. </w:t>
      </w:r>
      <w:r w:rsidR="00354DC9" w:rsidRPr="001513BC">
        <w:t xml:space="preserve"> </w:t>
      </w:r>
      <w:r w:rsidRPr="001513BC">
        <w:t>You have not bee</w:t>
      </w:r>
      <w:r w:rsidR="00354DC9" w:rsidRPr="001513BC">
        <w:t>n charged with any further drug-</w:t>
      </w:r>
      <w:r w:rsidRPr="001513BC">
        <w:t xml:space="preserve">related offences. </w:t>
      </w:r>
      <w:r w:rsidR="00354DC9" w:rsidRPr="001513BC">
        <w:t xml:space="preserve"> </w:t>
      </w:r>
      <w:r w:rsidR="008B431F" w:rsidRPr="001513BC">
        <w:t>Y</w:t>
      </w:r>
      <w:r w:rsidR="00FC1E3D" w:rsidRPr="001513BC">
        <w:t xml:space="preserve">ou have ceased </w:t>
      </w:r>
      <w:r w:rsidR="00354DC9" w:rsidRPr="001513BC">
        <w:t>your drug use a</w:t>
      </w:r>
      <w:r w:rsidR="00FC1E3D" w:rsidRPr="001513BC">
        <w:t>nd you have recently returned to employment</w:t>
      </w:r>
      <w:r w:rsidR="00D93452" w:rsidRPr="001513BC">
        <w:t>.</w:t>
      </w:r>
      <w:r w:rsidR="00FC1E3D" w:rsidRPr="001513BC">
        <w:t xml:space="preserve"> </w:t>
      </w:r>
      <w:r w:rsidR="00354DC9" w:rsidRPr="001513BC">
        <w:t xml:space="preserve"> </w:t>
      </w:r>
      <w:r w:rsidR="00FC1E3D" w:rsidRPr="001513BC">
        <w:t>I accept t</w:t>
      </w:r>
      <w:r w:rsidR="00354DC9" w:rsidRPr="001513BC">
        <w:t>hat t</w:t>
      </w:r>
      <w:r w:rsidR="00FC1E3D" w:rsidRPr="001513BC">
        <w:t>hese are all matters which indicate positive benefits arisi</w:t>
      </w:r>
      <w:r w:rsidR="00354DC9" w:rsidRPr="001513BC">
        <w:t>ng out of the unfortunate delay</w:t>
      </w:r>
      <w:r w:rsidR="00FC1E3D" w:rsidRPr="001513BC">
        <w:t xml:space="preserve"> and which count in your favour. </w:t>
      </w:r>
      <w:r w:rsidR="00354DC9" w:rsidRPr="001513BC">
        <w:t xml:space="preserve"> </w:t>
      </w:r>
      <w:r w:rsidR="00FC1E3D" w:rsidRPr="001513BC">
        <w:t>I accept</w:t>
      </w:r>
      <w:r w:rsidR="00354DC9" w:rsidRPr="001513BC">
        <w:t xml:space="preserve"> that</w:t>
      </w:r>
      <w:r w:rsidR="00FC1E3D" w:rsidRPr="001513BC">
        <w:t xml:space="preserve"> they </w:t>
      </w:r>
      <w:r w:rsidR="00354DC9" w:rsidRPr="001513BC">
        <w:t xml:space="preserve">also </w:t>
      </w:r>
      <w:r w:rsidR="00FC1E3D" w:rsidRPr="001513BC">
        <w:t xml:space="preserve">justify characterising your </w:t>
      </w:r>
      <w:r w:rsidR="00354DC9" w:rsidRPr="001513BC">
        <w:t>prospects for rehabilitation as</w:t>
      </w:r>
      <w:r w:rsidR="00FC1E3D" w:rsidRPr="001513BC">
        <w:t xml:space="preserve"> good.</w:t>
      </w:r>
    </w:p>
    <w:p w:rsidR="0047498B" w:rsidRPr="001513BC" w:rsidRDefault="00FC1E3D" w:rsidP="003E08DB">
      <w:pPr>
        <w:pStyle w:val="Heading1"/>
      </w:pPr>
      <w:r w:rsidRPr="001513BC">
        <w:t>Dealing th</w:t>
      </w:r>
      <w:r w:rsidR="00A8242F" w:rsidRPr="001513BC">
        <w:t>en with the issue of hardship</w:t>
      </w:r>
      <w:r w:rsidR="008B431F" w:rsidRPr="001513BC">
        <w:t>,</w:t>
      </w:r>
      <w:r w:rsidR="00A8242F" w:rsidRPr="001513BC">
        <w:t xml:space="preserve"> </w:t>
      </w:r>
      <w:r w:rsidR="0047498B" w:rsidRPr="001513BC">
        <w:t xml:space="preserve">I was told you had full </w:t>
      </w:r>
      <w:r w:rsidR="003E6A2A" w:rsidRPr="001513BC">
        <w:t xml:space="preserve">and sole </w:t>
      </w:r>
      <w:r w:rsidR="0047498B" w:rsidRPr="001513BC">
        <w:t xml:space="preserve">custody of your </w:t>
      </w:r>
      <w:r w:rsidR="00A8242F" w:rsidRPr="001513BC">
        <w:t>eight</w:t>
      </w:r>
      <w:r w:rsidR="003E6A2A" w:rsidRPr="001513BC">
        <w:t xml:space="preserve"> year old daughter, a child who had recovered from the </w:t>
      </w:r>
      <w:r w:rsidR="00A8242F" w:rsidRPr="001513BC">
        <w:t xml:space="preserve">significant </w:t>
      </w:r>
      <w:r w:rsidR="003E6A2A" w:rsidRPr="001513BC">
        <w:t>physical and emotional neglect she endured when in the care of her substance abusing mother</w:t>
      </w:r>
      <w:r w:rsidR="00752565" w:rsidRPr="001513BC">
        <w:t>.</w:t>
      </w:r>
      <w:r w:rsidR="00A8242F" w:rsidRPr="001513BC">
        <w:t xml:space="preserve"> I was told the child is now</w:t>
      </w:r>
      <w:r w:rsidR="003E6A2A" w:rsidRPr="001513BC">
        <w:t xml:space="preserve"> flourishing, emotional</w:t>
      </w:r>
      <w:r w:rsidR="00B47947" w:rsidRPr="001513BC">
        <w:t>ly, ph</w:t>
      </w:r>
      <w:r w:rsidR="003E6A2A" w:rsidRPr="001513BC">
        <w:t>ysically and academically</w:t>
      </w:r>
      <w:r w:rsidR="00A8242F" w:rsidRPr="001513BC">
        <w:t xml:space="preserve"> whilst</w:t>
      </w:r>
      <w:r w:rsidR="003E6A2A" w:rsidRPr="001513BC">
        <w:t xml:space="preserve"> in your care. </w:t>
      </w:r>
      <w:r w:rsidR="00A8242F" w:rsidRPr="001513BC">
        <w:t xml:space="preserve"> </w:t>
      </w:r>
      <w:r w:rsidR="003E6A2A" w:rsidRPr="001513BC">
        <w:t xml:space="preserve">I was told </w:t>
      </w:r>
      <w:r w:rsidR="00A8242F" w:rsidRPr="001513BC">
        <w:t>that her mother has</w:t>
      </w:r>
      <w:r w:rsidR="003E6A2A" w:rsidRPr="001513BC">
        <w:t xml:space="preserve"> had no contact with her from the time</w:t>
      </w:r>
      <w:r w:rsidR="00A8242F" w:rsidRPr="001513BC">
        <w:t xml:space="preserve"> that she was three</w:t>
      </w:r>
      <w:r w:rsidR="003E6A2A" w:rsidRPr="001513BC">
        <w:t xml:space="preserve"> and that after a period in your parents</w:t>
      </w:r>
      <w:r w:rsidR="00A8242F" w:rsidRPr="001513BC">
        <w:t>'</w:t>
      </w:r>
      <w:r w:rsidR="003E6A2A" w:rsidRPr="001513BC">
        <w:t xml:space="preserve"> care, she had come to live with you.</w:t>
      </w:r>
      <w:r w:rsidR="00BA4BF7" w:rsidRPr="001513BC">
        <w:t xml:space="preserve">  I want to note</w:t>
      </w:r>
      <w:r w:rsidR="00A8242F" w:rsidRPr="001513BC">
        <w:t xml:space="preserve"> that I am referring to her as your child, rather than by name, in order to </w:t>
      </w:r>
      <w:r w:rsidR="00DF299A" w:rsidRPr="001513BC">
        <w:t>protect her privacy and not because I am seeking t</w:t>
      </w:r>
      <w:r w:rsidR="00BA4BF7" w:rsidRPr="001513BC">
        <w:t xml:space="preserve">o, in any way, dehumanise or </w:t>
      </w:r>
      <w:r w:rsidR="00DF299A" w:rsidRPr="001513BC">
        <w:t>devalue her.</w:t>
      </w:r>
      <w:r w:rsidR="003E6A2A" w:rsidRPr="001513BC">
        <w:t xml:space="preserve"> </w:t>
      </w:r>
    </w:p>
    <w:p w:rsidR="003E6A2A" w:rsidRPr="001513BC" w:rsidRDefault="00DF299A" w:rsidP="003E08DB">
      <w:pPr>
        <w:pStyle w:val="Heading1"/>
      </w:pPr>
      <w:r w:rsidRPr="001513BC">
        <w:t>The significance of your care for your child</w:t>
      </w:r>
      <w:r w:rsidR="00453785" w:rsidRPr="001513BC">
        <w:t xml:space="preserve"> is inde</w:t>
      </w:r>
      <w:r w:rsidR="00B47947" w:rsidRPr="001513BC">
        <w:t>e</w:t>
      </w:r>
      <w:r w:rsidR="00453785" w:rsidRPr="001513BC">
        <w:t xml:space="preserve">d a weighty matter. </w:t>
      </w:r>
      <w:r w:rsidRPr="001513BC">
        <w:t xml:space="preserve"> </w:t>
      </w:r>
      <w:r w:rsidR="00453785" w:rsidRPr="001513BC">
        <w:t>Were you to be imprisoned, she would be deprived of the pe</w:t>
      </w:r>
      <w:r w:rsidRPr="001513BC">
        <w:t xml:space="preserve">rson who has cared for her, either solely or significantly over </w:t>
      </w:r>
      <w:r w:rsidR="00453785" w:rsidRPr="001513BC">
        <w:t xml:space="preserve">the last few years. </w:t>
      </w:r>
      <w:r w:rsidRPr="001513BC">
        <w:t xml:space="preserve"> </w:t>
      </w:r>
      <w:r w:rsidR="00453785" w:rsidRPr="001513BC">
        <w:t xml:space="preserve">Given the neglect </w:t>
      </w:r>
      <w:r w:rsidRPr="001513BC">
        <w:t>that she had</w:t>
      </w:r>
      <w:r w:rsidR="00453785" w:rsidRPr="001513BC">
        <w:t xml:space="preserve"> suffered </w:t>
      </w:r>
      <w:r w:rsidRPr="001513BC">
        <w:t>in her early years, loss of the parent who has been such a part in overseeing her recovery</w:t>
      </w:r>
      <w:r w:rsidR="00453785" w:rsidRPr="001513BC">
        <w:t xml:space="preserve"> and </w:t>
      </w:r>
      <w:r w:rsidR="0024775D" w:rsidRPr="001513BC">
        <w:t>has assisting in giving</w:t>
      </w:r>
      <w:r w:rsidR="00B47947" w:rsidRPr="001513BC">
        <w:t xml:space="preserve"> her much needed stabil</w:t>
      </w:r>
      <w:r w:rsidRPr="001513BC">
        <w:t xml:space="preserve">ity, it was said, </w:t>
      </w:r>
      <w:r w:rsidR="00B47947" w:rsidRPr="001513BC">
        <w:t xml:space="preserve">could imperil that recovery. </w:t>
      </w:r>
      <w:r w:rsidRPr="001513BC">
        <w:t xml:space="preserve"> </w:t>
      </w:r>
      <w:r w:rsidR="00B47947" w:rsidRPr="001513BC">
        <w:t>She is properly to</w:t>
      </w:r>
      <w:r w:rsidR="00865EE7" w:rsidRPr="001513BC">
        <w:t xml:space="preserve"> be </w:t>
      </w:r>
      <w:r w:rsidR="00B47947" w:rsidRPr="001513BC">
        <w:lastRenderedPageBreak/>
        <w:t>characterised as an innoc</w:t>
      </w:r>
      <w:r w:rsidRPr="001513BC">
        <w:t>ent victim of your wrongdoing a</w:t>
      </w:r>
      <w:r w:rsidR="00B47947" w:rsidRPr="001513BC">
        <w:t xml:space="preserve">nd the impact on her must be carefully considered. </w:t>
      </w:r>
    </w:p>
    <w:p w:rsidR="00B47947" w:rsidRPr="001513BC" w:rsidRDefault="00B47947" w:rsidP="003E08DB">
      <w:pPr>
        <w:pStyle w:val="Heading1"/>
      </w:pPr>
      <w:r w:rsidRPr="001513BC">
        <w:t xml:space="preserve">The following observations are also relevant. </w:t>
      </w:r>
      <w:r w:rsidR="0085632F" w:rsidRPr="001513BC">
        <w:t xml:space="preserve"> </w:t>
      </w:r>
      <w:r w:rsidR="000E17CB" w:rsidRPr="001513BC">
        <w:t>On the materials before me and on what I was told in the course of the plea, t</w:t>
      </w:r>
      <w:r w:rsidRPr="001513BC">
        <w:t>he child was in your care</w:t>
      </w:r>
      <w:r w:rsidR="000E17CB" w:rsidRPr="001513BC">
        <w:t>, either solely or shar</w:t>
      </w:r>
      <w:r w:rsidR="0024775D" w:rsidRPr="001513BC">
        <w:t>e</w:t>
      </w:r>
      <w:r w:rsidR="000E17CB" w:rsidRPr="001513BC">
        <w:t>d with your parents</w:t>
      </w:r>
      <w:r w:rsidRPr="001513BC">
        <w:t xml:space="preserve"> over the extended period of your offen</w:t>
      </w:r>
      <w:r w:rsidR="00095AE3" w:rsidRPr="001513BC">
        <w:t xml:space="preserve">ding. That is, from 2012, when </w:t>
      </w:r>
      <w:r w:rsidR="000E17CB" w:rsidRPr="001513BC">
        <w:t xml:space="preserve">you were trafficking to Mr </w:t>
      </w:r>
      <w:r w:rsidR="00BA52C3" w:rsidRPr="001513BC">
        <w:t>Kitek</w:t>
      </w:r>
      <w:r w:rsidRPr="001513BC">
        <w:t xml:space="preserve"> and over the period from June 2013 to February 2014</w:t>
      </w:r>
      <w:r w:rsidR="000E17CB" w:rsidRPr="001513BC">
        <w:t>,</w:t>
      </w:r>
      <w:r w:rsidRPr="001513BC">
        <w:t xml:space="preserve"> </w:t>
      </w:r>
      <w:r w:rsidR="005B19D3" w:rsidRPr="001513BC">
        <w:t>when you were engaged in im</w:t>
      </w:r>
      <w:r w:rsidR="000E17CB" w:rsidRPr="001513BC">
        <w:t>porting the drugs through Silk R</w:t>
      </w:r>
      <w:r w:rsidR="005B19D3" w:rsidRPr="001513BC">
        <w:t xml:space="preserve">oad. </w:t>
      </w:r>
      <w:r w:rsidR="000E17CB" w:rsidRPr="001513BC">
        <w:t xml:space="preserve"> </w:t>
      </w:r>
      <w:r w:rsidR="005B19D3" w:rsidRPr="001513BC">
        <w:t xml:space="preserve">There was evidence in the depositions, </w:t>
      </w:r>
      <w:r w:rsidR="000E17CB" w:rsidRPr="001513BC">
        <w:t xml:space="preserve">both </w:t>
      </w:r>
      <w:r w:rsidR="005B19D3" w:rsidRPr="001513BC">
        <w:t xml:space="preserve">from </w:t>
      </w:r>
      <w:r w:rsidR="000E17CB" w:rsidRPr="001513BC">
        <w:br/>
        <w:t xml:space="preserve">Mr </w:t>
      </w:r>
      <w:r w:rsidR="00BA52C3" w:rsidRPr="001513BC">
        <w:t>Kitek</w:t>
      </w:r>
      <w:r w:rsidR="005B19D3" w:rsidRPr="001513BC">
        <w:t xml:space="preserve"> and Mr </w:t>
      </w:r>
      <w:r w:rsidR="00C9304A" w:rsidRPr="001513BC">
        <w:t>Ciceli</w:t>
      </w:r>
      <w:r w:rsidR="000E17CB" w:rsidRPr="001513BC">
        <w:t>,</w:t>
      </w:r>
      <w:r w:rsidR="005B19D3" w:rsidRPr="001513BC">
        <w:t xml:space="preserve"> that the child was present when you supplied them with drugs. </w:t>
      </w:r>
      <w:r w:rsidR="000E17CB" w:rsidRPr="001513BC">
        <w:t xml:space="preserve"> </w:t>
      </w:r>
      <w:r w:rsidR="00EC494C" w:rsidRPr="001513BC">
        <w:t>Ms Swan</w:t>
      </w:r>
      <w:r w:rsidR="00095AE3" w:rsidRPr="001513BC">
        <w:t xml:space="preserve"> put</w:t>
      </w:r>
      <w:r w:rsidR="005B19D3" w:rsidRPr="001513BC">
        <w:t xml:space="preserve"> </w:t>
      </w:r>
      <w:r w:rsidR="000E17CB" w:rsidRPr="001513BC">
        <w:t xml:space="preserve">to me that </w:t>
      </w:r>
      <w:r w:rsidR="005B19D3" w:rsidRPr="001513BC">
        <w:t xml:space="preserve">your </w:t>
      </w:r>
      <w:r w:rsidR="00095AE3" w:rsidRPr="001513BC">
        <w:t>instructions were</w:t>
      </w:r>
      <w:r w:rsidR="005B19D3" w:rsidRPr="001513BC">
        <w:t xml:space="preserve"> </w:t>
      </w:r>
      <w:r w:rsidR="000E17CB" w:rsidRPr="001513BC">
        <w:t xml:space="preserve">that </w:t>
      </w:r>
      <w:r w:rsidR="005B19D3" w:rsidRPr="001513BC">
        <w:t xml:space="preserve">you </w:t>
      </w:r>
      <w:r w:rsidR="00095AE3" w:rsidRPr="001513BC">
        <w:t>were</w:t>
      </w:r>
      <w:r w:rsidR="000E17CB" w:rsidRPr="001513BC">
        <w:t xml:space="preserve"> using</w:t>
      </w:r>
      <w:r w:rsidR="005B19D3" w:rsidRPr="001513BC">
        <w:t xml:space="preserve"> or abusing </w:t>
      </w:r>
      <w:r w:rsidR="00095AE3" w:rsidRPr="001513BC">
        <w:t>methamphetamine</w:t>
      </w:r>
      <w:r w:rsidR="005B19D3" w:rsidRPr="001513BC">
        <w:t xml:space="preserve"> </w:t>
      </w:r>
      <w:r w:rsidR="00095AE3" w:rsidRPr="001513BC">
        <w:t>a</w:t>
      </w:r>
      <w:r w:rsidR="005B19D3" w:rsidRPr="001513BC">
        <w:t>t the time</w:t>
      </w:r>
      <w:r w:rsidR="000E17CB" w:rsidRPr="001513BC">
        <w:t xml:space="preserve"> of the offending. </w:t>
      </w:r>
      <w:r w:rsidR="00095AE3" w:rsidRPr="001513BC">
        <w:t xml:space="preserve"> E</w:t>
      </w:r>
      <w:r w:rsidR="005B19D3" w:rsidRPr="001513BC">
        <w:t>ven if you did not actually adminis</w:t>
      </w:r>
      <w:r w:rsidR="000E17CB" w:rsidRPr="001513BC">
        <w:t>ter the drugs to yourself in your child's</w:t>
      </w:r>
      <w:r w:rsidR="005B19D3" w:rsidRPr="001513BC">
        <w:t xml:space="preserve"> presence, </w:t>
      </w:r>
      <w:r w:rsidR="00095AE3" w:rsidRPr="001513BC">
        <w:t xml:space="preserve">as I was told </w:t>
      </w:r>
      <w:r w:rsidR="000E17CB" w:rsidRPr="001513BC">
        <w:t>were your instructions,</w:t>
      </w:r>
      <w:r w:rsidR="00095AE3" w:rsidRPr="001513BC">
        <w:t xml:space="preserve"> </w:t>
      </w:r>
      <w:r w:rsidR="005B19D3" w:rsidRPr="001513BC">
        <w:t xml:space="preserve">you were </w:t>
      </w:r>
      <w:r w:rsidR="00095AE3" w:rsidRPr="001513BC">
        <w:t>using, receiving and storing</w:t>
      </w:r>
      <w:r w:rsidR="000E17CB" w:rsidRPr="001513BC">
        <w:t xml:space="preserve"> drugs in the house</w:t>
      </w:r>
      <w:r w:rsidR="00095AE3" w:rsidRPr="001513BC">
        <w:t xml:space="preserve"> and su</w:t>
      </w:r>
      <w:r w:rsidR="005B19D3" w:rsidRPr="001513BC">
        <w:t>pplying them to others</w:t>
      </w:r>
      <w:r w:rsidR="000E17CB" w:rsidRPr="001513BC">
        <w:t xml:space="preserve"> from the house</w:t>
      </w:r>
      <w:r w:rsidR="005B19D3" w:rsidRPr="001513BC">
        <w:t xml:space="preserve"> wh</w:t>
      </w:r>
      <w:r w:rsidR="00095AE3" w:rsidRPr="001513BC">
        <w:t>i</w:t>
      </w:r>
      <w:r w:rsidR="005B19D3" w:rsidRPr="001513BC">
        <w:t>lst she was in your care.</w:t>
      </w:r>
    </w:p>
    <w:p w:rsidR="005B19D3" w:rsidRPr="001513BC" w:rsidRDefault="005B19D3" w:rsidP="003E08DB">
      <w:pPr>
        <w:pStyle w:val="Heading1"/>
      </w:pPr>
      <w:r w:rsidRPr="001513BC">
        <w:t>It does not sit comfortably to use</w:t>
      </w:r>
      <w:r w:rsidR="000F4EF3" w:rsidRPr="001513BC">
        <w:t xml:space="preserve"> your responsibility to care for </w:t>
      </w:r>
      <w:r w:rsidR="0085632F" w:rsidRPr="001513BC">
        <w:t>your daughter</w:t>
      </w:r>
      <w:r w:rsidR="000F4EF3" w:rsidRPr="001513BC">
        <w:t xml:space="preserve"> and the risk to her wellbeing</w:t>
      </w:r>
      <w:r w:rsidR="000E17CB" w:rsidRPr="001513BC">
        <w:t>,</w:t>
      </w:r>
      <w:r w:rsidR="000F4EF3" w:rsidRPr="001513BC">
        <w:t xml:space="preserve"> were you to be imprisoned, </w:t>
      </w:r>
      <w:r w:rsidRPr="001513BC">
        <w:t xml:space="preserve">as a reason for </w:t>
      </w:r>
      <w:r w:rsidR="000E17CB" w:rsidRPr="001513BC">
        <w:br/>
      </w:r>
      <w:r w:rsidRPr="001513BC">
        <w:t xml:space="preserve">a </w:t>
      </w:r>
      <w:r w:rsidR="000E17CB" w:rsidRPr="001513BC">
        <w:t>non-</w:t>
      </w:r>
      <w:r w:rsidRPr="001513BC">
        <w:t>custodial sentence</w:t>
      </w:r>
      <w:r w:rsidR="000E17CB" w:rsidRPr="001513BC">
        <w:t>,</w:t>
      </w:r>
      <w:r w:rsidRPr="001513BC">
        <w:t xml:space="preserve"> when you were, </w:t>
      </w:r>
      <w:r w:rsidR="000E17CB" w:rsidRPr="001513BC">
        <w:t>apparently without compunction</w:t>
      </w:r>
      <w:r w:rsidR="000F4EF3" w:rsidRPr="001513BC">
        <w:t xml:space="preserve"> </w:t>
      </w:r>
      <w:r w:rsidRPr="001513BC">
        <w:t xml:space="preserve">during the </w:t>
      </w:r>
      <w:r w:rsidR="0085632F" w:rsidRPr="001513BC">
        <w:t xml:space="preserve">protracted </w:t>
      </w:r>
      <w:r w:rsidRPr="001513BC">
        <w:t xml:space="preserve">period of the offending, exposing her to the fact of and </w:t>
      </w:r>
      <w:r w:rsidR="000E17CB" w:rsidRPr="001513BC">
        <w:t xml:space="preserve">the </w:t>
      </w:r>
      <w:r w:rsidRPr="001513BC">
        <w:t xml:space="preserve">risks associated with your illegal </w:t>
      </w:r>
      <w:r w:rsidR="00E2701E" w:rsidRPr="001513BC">
        <w:t>drug-</w:t>
      </w:r>
      <w:r w:rsidR="000F4EF3" w:rsidRPr="001513BC">
        <w:t xml:space="preserve">related </w:t>
      </w:r>
      <w:r w:rsidRPr="001513BC">
        <w:t>activities.</w:t>
      </w:r>
    </w:p>
    <w:p w:rsidR="00E2701E" w:rsidRPr="001513BC" w:rsidRDefault="000F4EF3" w:rsidP="003E08DB">
      <w:pPr>
        <w:pStyle w:val="Heading1"/>
      </w:pPr>
      <w:r w:rsidRPr="001513BC">
        <w:t xml:space="preserve">Although </w:t>
      </w:r>
      <w:r w:rsidR="005A3100" w:rsidRPr="001513BC">
        <w:t xml:space="preserve">I am told </w:t>
      </w:r>
      <w:r w:rsidRPr="001513BC">
        <w:t xml:space="preserve">you </w:t>
      </w:r>
      <w:r w:rsidR="0085632F" w:rsidRPr="001513BC">
        <w:t xml:space="preserve">are now your daughter’s primary caregiver, it is clear </w:t>
      </w:r>
      <w:r w:rsidR="00E2701E" w:rsidRPr="001513BC">
        <w:t>that your parents, particularly your mother, have played</w:t>
      </w:r>
      <w:r w:rsidR="0085632F" w:rsidRPr="001513BC">
        <w:t xml:space="preserve"> and continue to play </w:t>
      </w:r>
      <w:r w:rsidR="00E2701E" w:rsidRPr="001513BC">
        <w:br/>
      </w:r>
      <w:r w:rsidR="0085632F" w:rsidRPr="001513BC">
        <w:t xml:space="preserve">a significant role in her life. </w:t>
      </w:r>
      <w:r w:rsidR="00E2701E" w:rsidRPr="001513BC">
        <w:t xml:space="preserve"> It would appear that w</w:t>
      </w:r>
      <w:r w:rsidR="0085632F" w:rsidRPr="001513BC">
        <w:t>hen she was first removed from her mot</w:t>
      </w:r>
      <w:r w:rsidR="00E2701E" w:rsidRPr="001513BC">
        <w:t>her’s care, it was your parents and</w:t>
      </w:r>
      <w:r w:rsidR="0085632F" w:rsidRPr="001513BC">
        <w:t xml:space="preserve"> not you who assumed primary responsibility for her. </w:t>
      </w:r>
      <w:r w:rsidR="00E2701E" w:rsidRPr="001513BC">
        <w:t xml:space="preserve"> </w:t>
      </w:r>
    </w:p>
    <w:p w:rsidR="00E2701E" w:rsidRPr="001513BC" w:rsidRDefault="0085632F" w:rsidP="003E08DB">
      <w:pPr>
        <w:pStyle w:val="Heading1"/>
      </w:pPr>
      <w:r w:rsidRPr="001513BC">
        <w:t xml:space="preserve">I was provided with a number of reports </w:t>
      </w:r>
      <w:r w:rsidR="0024775D" w:rsidRPr="001513BC">
        <w:t>from</w:t>
      </w:r>
      <w:r w:rsidR="005A3100" w:rsidRPr="001513BC">
        <w:t xml:space="preserve"> the </w:t>
      </w:r>
      <w:r w:rsidR="00E2701E" w:rsidRPr="001513BC">
        <w:t xml:space="preserve">consultant paediatrician who was responsible for her care, covering the </w:t>
      </w:r>
      <w:r w:rsidR="005A3100" w:rsidRPr="001513BC">
        <w:t xml:space="preserve">period </w:t>
      </w:r>
      <w:r w:rsidR="00E2701E" w:rsidRPr="001513BC">
        <w:t xml:space="preserve">from </w:t>
      </w:r>
      <w:r w:rsidR="005A3100" w:rsidRPr="001513BC">
        <w:t xml:space="preserve">October 2012 to </w:t>
      </w:r>
      <w:r w:rsidR="008D6AFB" w:rsidRPr="001513BC">
        <w:t>October</w:t>
      </w:r>
      <w:r w:rsidR="00E2701E" w:rsidRPr="001513BC">
        <w:t xml:space="preserve"> 2013.  T</w:t>
      </w:r>
      <w:r w:rsidRPr="001513BC">
        <w:t>hat is</w:t>
      </w:r>
      <w:r w:rsidR="00E2701E" w:rsidRPr="001513BC">
        <w:t>,</w:t>
      </w:r>
      <w:r w:rsidRPr="001513BC">
        <w:t xml:space="preserve"> covering </w:t>
      </w:r>
      <w:r w:rsidR="008D6AFB" w:rsidRPr="001513BC">
        <w:t xml:space="preserve">a substantial </w:t>
      </w:r>
      <w:r w:rsidR="00E2701E" w:rsidRPr="001513BC">
        <w:t>part of the period of offending. Those reports</w:t>
      </w:r>
      <w:r w:rsidR="008D6AFB" w:rsidRPr="001513BC">
        <w:t xml:space="preserve"> refer to </w:t>
      </w:r>
      <w:r w:rsidRPr="001513BC">
        <w:t>the chi</w:t>
      </w:r>
      <w:r w:rsidR="00E2701E" w:rsidRPr="001513BC">
        <w:t xml:space="preserve">ld living with her grandparents and describe her </w:t>
      </w:r>
      <w:r w:rsidR="00E2701E" w:rsidRPr="001513BC">
        <w:lastRenderedPageBreak/>
        <w:t>grandmother, that is, y</w:t>
      </w:r>
      <w:r w:rsidRPr="001513BC">
        <w:t>our</w:t>
      </w:r>
      <w:r w:rsidR="00E2701E" w:rsidRPr="001513BC">
        <w:t xml:space="preserve"> mother, as the primary caregiver and the one who, in the reports, was given </w:t>
      </w:r>
      <w:r w:rsidRPr="001513BC">
        <w:t xml:space="preserve">credit for the child’s progress. </w:t>
      </w:r>
      <w:r w:rsidR="00E2701E" w:rsidRPr="001513BC">
        <w:t xml:space="preserve"> </w:t>
      </w:r>
    </w:p>
    <w:p w:rsidR="00FB2514" w:rsidRPr="001513BC" w:rsidRDefault="005A3100" w:rsidP="00831FC7">
      <w:pPr>
        <w:pStyle w:val="Heading1"/>
      </w:pPr>
      <w:r w:rsidRPr="001513BC">
        <w:t xml:space="preserve">There </w:t>
      </w:r>
      <w:r w:rsidR="008D6AFB" w:rsidRPr="001513BC">
        <w:t xml:space="preserve">were a number of </w:t>
      </w:r>
      <w:r w:rsidRPr="001513BC">
        <w:t>r</w:t>
      </w:r>
      <w:r w:rsidR="00E2701E" w:rsidRPr="001513BC">
        <w:t>eferences to the child’s mother and her past role in parenting in those reports,</w:t>
      </w:r>
      <w:r w:rsidRPr="001513BC">
        <w:t xml:space="preserve"> but</w:t>
      </w:r>
      <w:r w:rsidR="00E2701E" w:rsidRPr="001513BC">
        <w:t xml:space="preserve"> there was</w:t>
      </w:r>
      <w:r w:rsidRPr="001513BC">
        <w:t xml:space="preserve"> no reference to you having a past, or then current role in her care. </w:t>
      </w:r>
      <w:r w:rsidR="00E2701E" w:rsidRPr="001513BC">
        <w:t xml:space="preserve"> </w:t>
      </w:r>
    </w:p>
    <w:p w:rsidR="00532488" w:rsidRPr="001513BC" w:rsidRDefault="005D72A6" w:rsidP="00831FC7">
      <w:pPr>
        <w:pStyle w:val="Heading1"/>
      </w:pPr>
      <w:r w:rsidRPr="001513BC">
        <w:t>I am sat</w:t>
      </w:r>
      <w:r w:rsidR="00E2701E" w:rsidRPr="001513BC">
        <w:t>isfied, based on the evidence in the depositions from</w:t>
      </w:r>
      <w:r w:rsidRPr="001513BC">
        <w:t xml:space="preserve"> Mr </w:t>
      </w:r>
      <w:r w:rsidR="00BA52C3" w:rsidRPr="001513BC">
        <w:t>Kitek</w:t>
      </w:r>
      <w:r w:rsidRPr="001513BC">
        <w:t xml:space="preserve"> and Mr </w:t>
      </w:r>
      <w:r w:rsidR="00C9304A" w:rsidRPr="001513BC">
        <w:t>Ciceli</w:t>
      </w:r>
      <w:r w:rsidRPr="001513BC">
        <w:t xml:space="preserve">, that </w:t>
      </w:r>
      <w:r w:rsidR="00FB2514" w:rsidRPr="001513BC">
        <w:t>your child</w:t>
      </w:r>
      <w:r w:rsidRPr="001513BC">
        <w:t xml:space="preserve"> was</w:t>
      </w:r>
      <w:r w:rsidR="00E2701E" w:rsidRPr="001513BC">
        <w:t>,</w:t>
      </w:r>
      <w:r w:rsidRPr="001513BC">
        <w:t xml:space="preserve"> at times</w:t>
      </w:r>
      <w:r w:rsidR="00E2701E" w:rsidRPr="001513BC">
        <w:t xml:space="preserve">, in your care </w:t>
      </w:r>
      <w:r w:rsidRPr="001513BC">
        <w:t>and present in the house when you were involved in the criminal activity for which you now come to be sentenced</w:t>
      </w:r>
      <w:r w:rsidR="0024775D" w:rsidRPr="001513BC">
        <w:t xml:space="preserve">.  </w:t>
      </w:r>
    </w:p>
    <w:p w:rsidR="00DE20F1" w:rsidRPr="001513BC" w:rsidRDefault="00532488" w:rsidP="00C47387">
      <w:pPr>
        <w:pStyle w:val="Heading1"/>
        <w:rPr>
          <w:strike/>
        </w:rPr>
      </w:pPr>
      <w:r w:rsidRPr="001513BC">
        <w:t>Y</w:t>
      </w:r>
      <w:r w:rsidR="00DE20F1" w:rsidRPr="001513BC">
        <w:t xml:space="preserve">our parents are still involved in </w:t>
      </w:r>
      <w:r w:rsidR="00831FC7" w:rsidRPr="001513BC">
        <w:t>your daughter's life</w:t>
      </w:r>
      <w:r w:rsidRPr="001513BC">
        <w:t xml:space="preserve">. Their ongoing commitment to her welfare is demonstrated by them having </w:t>
      </w:r>
      <w:r w:rsidR="00831FC7" w:rsidRPr="001513BC">
        <w:t>taken on the responsibility</w:t>
      </w:r>
      <w:r w:rsidR="00DE20F1" w:rsidRPr="001513BC">
        <w:t xml:space="preserve"> for paying the fees of the private school she now attends.</w:t>
      </w:r>
      <w:r w:rsidRPr="001513BC">
        <w:t xml:space="preserve"> </w:t>
      </w:r>
      <w:r w:rsidR="00831FC7" w:rsidRPr="001513BC">
        <w:t>I am satisfied, on the materials before me, that your child's</w:t>
      </w:r>
      <w:r w:rsidR="00DE20F1" w:rsidRPr="001513BC">
        <w:t xml:space="preserve"> needs will be well met by her grandparents. </w:t>
      </w:r>
      <w:r w:rsidR="00831FC7" w:rsidRPr="001513BC">
        <w:t xml:space="preserve"> </w:t>
      </w:r>
    </w:p>
    <w:p w:rsidR="00741F8B" w:rsidRPr="001513BC" w:rsidRDefault="005D72A6" w:rsidP="003E08DB">
      <w:pPr>
        <w:pStyle w:val="Heading1"/>
      </w:pPr>
      <w:r w:rsidRPr="001513BC">
        <w:t xml:space="preserve">The effect of this is to diminish the strength of </w:t>
      </w:r>
      <w:r w:rsidR="00532488" w:rsidRPr="001513BC">
        <w:t xml:space="preserve">your arguments </w:t>
      </w:r>
      <w:r w:rsidRPr="001513BC">
        <w:t xml:space="preserve">that </w:t>
      </w:r>
      <w:r w:rsidR="00831FC7" w:rsidRPr="001513BC">
        <w:t>your role in your</w:t>
      </w:r>
      <w:r w:rsidR="00741F8B" w:rsidRPr="001513BC">
        <w:t xml:space="preserve"> child’s wellbeing would create such hardship as to constitute </w:t>
      </w:r>
      <w:r w:rsidRPr="001513BC">
        <w:t xml:space="preserve">exceptional circumstances, </w:t>
      </w:r>
      <w:r w:rsidR="00741F8B" w:rsidRPr="001513BC">
        <w:t>justifying the imposition of a merciful,</w:t>
      </w:r>
      <w:r w:rsidR="00831FC7" w:rsidRPr="001513BC">
        <w:t xml:space="preserve"> but disproportionate sentence.  T</w:t>
      </w:r>
      <w:r w:rsidR="00741F8B" w:rsidRPr="001513BC">
        <w:t>hat is, one whi</w:t>
      </w:r>
      <w:r w:rsidR="00831FC7" w:rsidRPr="001513BC">
        <w:t>ch did not involve imprisonment</w:t>
      </w:r>
      <w:r w:rsidR="00741F8B" w:rsidRPr="001513BC">
        <w:t>.</w:t>
      </w:r>
    </w:p>
    <w:p w:rsidR="00631368" w:rsidRPr="001513BC" w:rsidRDefault="00631368" w:rsidP="003E08DB">
      <w:pPr>
        <w:pStyle w:val="Heading1"/>
      </w:pPr>
      <w:r w:rsidRPr="001513BC">
        <w:t xml:space="preserve">I am not satisfied </w:t>
      </w:r>
      <w:r w:rsidR="00831FC7" w:rsidRPr="001513BC">
        <w:t xml:space="preserve">that you have discharged the onus that rests on you to establish </w:t>
      </w:r>
      <w:r w:rsidRPr="001513BC">
        <w:t>exceptional hardship</w:t>
      </w:r>
      <w:r w:rsidR="00831FC7" w:rsidRPr="001513BC">
        <w:t xml:space="preserve"> by reason of your daughter's circumstances.  Sadly, all too often, children and the</w:t>
      </w:r>
      <w:r w:rsidRPr="001513BC">
        <w:t xml:space="preserve"> elderly parents on whom the responsi</w:t>
      </w:r>
      <w:r w:rsidR="00831FC7" w:rsidRPr="001513BC">
        <w:t>bility for caring for an offender's children falls</w:t>
      </w:r>
      <w:r w:rsidRPr="001513BC">
        <w:t xml:space="preserve"> if an offender is sentenced to a term of imprisonment</w:t>
      </w:r>
      <w:r w:rsidR="00831FC7" w:rsidRPr="001513BC">
        <w:t>,</w:t>
      </w:r>
      <w:r w:rsidRPr="001513BC">
        <w:t xml:space="preserve"> are the ones who suffer. </w:t>
      </w:r>
      <w:r w:rsidR="00831FC7" w:rsidRPr="001513BC">
        <w:t xml:space="preserve"> But</w:t>
      </w:r>
      <w:r w:rsidRPr="001513BC">
        <w:t xml:space="preserve"> </w:t>
      </w:r>
      <w:r w:rsidR="00AE79B6" w:rsidRPr="001513BC">
        <w:t>to state the obvious</w:t>
      </w:r>
      <w:r w:rsidRPr="001513BC">
        <w:t xml:space="preserve">, that is something you should have thought of at the time. </w:t>
      </w:r>
    </w:p>
    <w:p w:rsidR="00904D4A" w:rsidRPr="001513BC" w:rsidRDefault="00CB0C1D" w:rsidP="003E08DB">
      <w:pPr>
        <w:pStyle w:val="Heading1"/>
      </w:pPr>
      <w:r w:rsidRPr="001513BC">
        <w:t>So far as parity is concerned, your sentence on C</w:t>
      </w:r>
      <w:r w:rsidR="00631368" w:rsidRPr="001513BC">
        <w:t xml:space="preserve">harge 3 must be greater than </w:t>
      </w:r>
      <w:r w:rsidRPr="001513BC">
        <w:t xml:space="preserve">the sentence I imposed on Mr </w:t>
      </w:r>
      <w:r w:rsidR="00C9304A" w:rsidRPr="001513BC">
        <w:t>Ciceli</w:t>
      </w:r>
      <w:r w:rsidRPr="001513BC">
        <w:t xml:space="preserve"> in respect of Charge 4, his equivalent charge.  </w:t>
      </w:r>
      <w:r w:rsidR="00631368" w:rsidRPr="001513BC">
        <w:t>You were the principal, the deviser and execu</w:t>
      </w:r>
      <w:r w:rsidRPr="001513BC">
        <w:t>to</w:t>
      </w:r>
      <w:r w:rsidR="00780982" w:rsidRPr="001513BC">
        <w:t xml:space="preserve">r of the plan. </w:t>
      </w:r>
      <w:r w:rsidRPr="001513BC">
        <w:t xml:space="preserve"> </w:t>
      </w:r>
      <w:r w:rsidR="00780982" w:rsidRPr="001513BC">
        <w:t xml:space="preserve">As </w:t>
      </w:r>
      <w:r w:rsidRPr="001513BC">
        <w:br/>
      </w:r>
      <w:r w:rsidR="00EC494C" w:rsidRPr="001513BC">
        <w:lastRenderedPageBreak/>
        <w:t>Ms Swan</w:t>
      </w:r>
      <w:r w:rsidR="00780982" w:rsidRPr="001513BC">
        <w:t xml:space="preserve"> put </w:t>
      </w:r>
      <w:r w:rsidRPr="001513BC">
        <w:t>it on the plea, you</w:t>
      </w:r>
      <w:r w:rsidR="00631368" w:rsidRPr="001513BC">
        <w:t xml:space="preserve"> “owned” the drugs</w:t>
      </w:r>
      <w:r w:rsidR="00780982" w:rsidRPr="001513BC">
        <w:t xml:space="preserve">. </w:t>
      </w:r>
      <w:r w:rsidRPr="001513BC">
        <w:t xml:space="preserve"> </w:t>
      </w:r>
      <w:r w:rsidR="00780982" w:rsidRPr="001513BC">
        <w:t>More than that, you ordered them</w:t>
      </w:r>
      <w:r w:rsidR="00E90DEC" w:rsidRPr="001513BC">
        <w:t>,</w:t>
      </w:r>
      <w:r w:rsidR="00780982" w:rsidRPr="001513BC">
        <w:t xml:space="preserve"> paid for them, chose what quantity and type </w:t>
      </w:r>
      <w:r w:rsidRPr="001513BC">
        <w:t>that you wanted</w:t>
      </w:r>
      <w:r w:rsidR="00780982" w:rsidRPr="001513BC">
        <w:t xml:space="preserve"> and directe</w:t>
      </w:r>
      <w:r w:rsidRPr="001513BC">
        <w:t>d where they would be delivered</w:t>
      </w:r>
      <w:r w:rsidR="00780982" w:rsidRPr="001513BC">
        <w:t xml:space="preserve"> and in what name. </w:t>
      </w:r>
      <w:r w:rsidR="00631368" w:rsidRPr="001513BC">
        <w:t xml:space="preserve"> </w:t>
      </w:r>
      <w:r w:rsidRPr="001513BC">
        <w:t>There is one more shipment in C</w:t>
      </w:r>
      <w:r w:rsidR="00780982" w:rsidRPr="001513BC">
        <w:t>harge 3, compared to those in which</w:t>
      </w:r>
      <w:r w:rsidRPr="001513BC">
        <w:t>, on Charge 4,</w:t>
      </w:r>
      <w:r w:rsidR="00780982" w:rsidRPr="001513BC">
        <w:t xml:space="preserve"> Mr </w:t>
      </w:r>
      <w:r w:rsidR="00C9304A" w:rsidRPr="001513BC">
        <w:t>Ciceli</w:t>
      </w:r>
      <w:r w:rsidR="00780982" w:rsidRPr="001513BC">
        <w:t xml:space="preserve"> </w:t>
      </w:r>
      <w:r w:rsidRPr="001513BC">
        <w:t xml:space="preserve">acknowledged </w:t>
      </w:r>
      <w:r w:rsidR="00780982" w:rsidRPr="001513BC">
        <w:t xml:space="preserve">an involvement and for which he was sentenced. </w:t>
      </w:r>
      <w:r w:rsidRPr="001513BC">
        <w:t xml:space="preserve"> </w:t>
      </w:r>
      <w:r w:rsidR="00780982" w:rsidRPr="001513BC">
        <w:t>And I take the view</w:t>
      </w:r>
      <w:r w:rsidRPr="001513BC">
        <w:t xml:space="preserve"> that</w:t>
      </w:r>
      <w:r w:rsidR="00780982" w:rsidRPr="001513BC">
        <w:t xml:space="preserve"> his sentence must be significantly different from yours</w:t>
      </w:r>
      <w:r w:rsidR="00CA6F05" w:rsidRPr="001513BC">
        <w:t>,</w:t>
      </w:r>
      <w:r w:rsidR="00780982" w:rsidRPr="001513BC">
        <w:t xml:space="preserve"> because of the </w:t>
      </w:r>
      <w:r w:rsidR="00E90DEC" w:rsidRPr="001513BC">
        <w:t xml:space="preserve">undertaking </w:t>
      </w:r>
      <w:r w:rsidR="00780982" w:rsidRPr="001513BC">
        <w:t>t</w:t>
      </w:r>
      <w:r w:rsidR="00E90DEC" w:rsidRPr="001513BC">
        <w:t>o</w:t>
      </w:r>
      <w:r w:rsidR="00780982" w:rsidRPr="001513BC">
        <w:t xml:space="preserve"> assist.</w:t>
      </w:r>
      <w:r w:rsidR="00E90DEC" w:rsidRPr="001513BC">
        <w:t xml:space="preserve"> </w:t>
      </w:r>
      <w:r w:rsidR="00CA6F05" w:rsidRPr="001513BC">
        <w:t xml:space="preserve"> </w:t>
      </w:r>
      <w:r w:rsidR="00E90DEC" w:rsidRPr="001513BC">
        <w:t xml:space="preserve">Whilst parity does not strictly apply, I have sought, taking into account the differences </w:t>
      </w:r>
      <w:r w:rsidR="00CA6F05" w:rsidRPr="001513BC">
        <w:t xml:space="preserve">that </w:t>
      </w:r>
      <w:r w:rsidR="00E90DEC" w:rsidRPr="001513BC">
        <w:t>I have identified, to make the sentences proportionate to each other.</w:t>
      </w:r>
    </w:p>
    <w:p w:rsidR="00CA6F05" w:rsidRPr="001513BC" w:rsidRDefault="00CA6F05" w:rsidP="003E08DB">
      <w:pPr>
        <w:pStyle w:val="Heading1"/>
      </w:pPr>
      <w:r w:rsidRPr="001513BC">
        <w:t>Could you now please stand.</w:t>
      </w:r>
    </w:p>
    <w:p w:rsidR="001C655F" w:rsidRPr="001513BC" w:rsidRDefault="00BA52C3" w:rsidP="001C655F">
      <w:pPr>
        <w:pStyle w:val="Heading1"/>
      </w:pPr>
      <w:r w:rsidRPr="001513BC">
        <w:t>Armand Cernagoj</w:t>
      </w:r>
      <w:r w:rsidR="00CA6F05" w:rsidRPr="001513BC">
        <w:t xml:space="preserve">, on the charges to which you pleaded guilty, you are convicted.  </w:t>
      </w:r>
    </w:p>
    <w:p w:rsidR="001C655F" w:rsidRPr="001513BC" w:rsidRDefault="00CA6F05" w:rsidP="001C655F">
      <w:pPr>
        <w:pStyle w:val="Heading1"/>
        <w:numPr>
          <w:ilvl w:val="0"/>
          <w:numId w:val="0"/>
        </w:numPr>
        <w:ind w:left="1440"/>
      </w:pPr>
      <w:r w:rsidRPr="001513BC">
        <w:t>On Charge 1 of trafficking, you are sentenced to be imprisoned for a period of six</w:t>
      </w:r>
      <w:r w:rsidR="00216E3D" w:rsidRPr="001513BC">
        <w:t xml:space="preserve"> months</w:t>
      </w:r>
      <w:r w:rsidRPr="001513BC">
        <w:t>.</w:t>
      </w:r>
    </w:p>
    <w:p w:rsidR="001C655F" w:rsidRPr="001513BC" w:rsidRDefault="00CA6F05" w:rsidP="001C655F">
      <w:pPr>
        <w:pStyle w:val="Heading1"/>
        <w:numPr>
          <w:ilvl w:val="0"/>
          <w:numId w:val="0"/>
        </w:numPr>
        <w:ind w:left="1440"/>
      </w:pPr>
      <w:r w:rsidRPr="001513BC">
        <w:t>On Charge 2 of importation of a marketable quantity of border controlled drug</w:t>
      </w:r>
      <w:r w:rsidR="00615DA7" w:rsidRPr="001513BC">
        <w:t>s</w:t>
      </w:r>
      <w:r w:rsidRPr="001513BC">
        <w:t>, you are sentenced to be imprisoned for a period of</w:t>
      </w:r>
      <w:r w:rsidR="00615DA7" w:rsidRPr="001513BC">
        <w:t xml:space="preserve"> </w:t>
      </w:r>
      <w:r w:rsidR="00AE0F00" w:rsidRPr="001513BC">
        <w:t>18 months</w:t>
      </w:r>
      <w:r w:rsidRPr="001513BC">
        <w:t>.</w:t>
      </w:r>
      <w:r w:rsidR="00216E3D" w:rsidRPr="001513BC">
        <w:t xml:space="preserve"> </w:t>
      </w:r>
    </w:p>
    <w:p w:rsidR="001C655F" w:rsidRPr="001513BC" w:rsidRDefault="00CA6F05" w:rsidP="001C655F">
      <w:pPr>
        <w:pStyle w:val="Heading1"/>
        <w:numPr>
          <w:ilvl w:val="0"/>
          <w:numId w:val="0"/>
        </w:numPr>
        <w:ind w:left="1440"/>
      </w:pPr>
      <w:r w:rsidRPr="001513BC">
        <w:t xml:space="preserve">On </w:t>
      </w:r>
      <w:r w:rsidR="001C655F" w:rsidRPr="001513BC">
        <w:t>Charge 3 of importation of a marketable quantity of border controlled drugs, you are sentenced to be imprisoned for a period of three years.</w:t>
      </w:r>
    </w:p>
    <w:p w:rsidR="001C655F" w:rsidRPr="001513BC" w:rsidRDefault="001C655F" w:rsidP="001C655F">
      <w:pPr>
        <w:pStyle w:val="Heading1"/>
      </w:pPr>
      <w:r w:rsidRPr="001513BC">
        <w:t>The sentence on C</w:t>
      </w:r>
      <w:r w:rsidR="00AE0F00" w:rsidRPr="001513BC">
        <w:t xml:space="preserve">harge 1 </w:t>
      </w:r>
      <w:r w:rsidRPr="001513BC">
        <w:t xml:space="preserve">is </w:t>
      </w:r>
      <w:r w:rsidR="00AE0F00" w:rsidRPr="001513BC">
        <w:t>to commence today</w:t>
      </w:r>
      <w:r w:rsidRPr="001513BC">
        <w:t>.</w:t>
      </w:r>
    </w:p>
    <w:p w:rsidR="001C655F" w:rsidRPr="001513BC" w:rsidRDefault="001C655F" w:rsidP="001C655F">
      <w:pPr>
        <w:pStyle w:val="Heading1"/>
      </w:pPr>
      <w:r w:rsidRPr="001513BC">
        <w:t>The s</w:t>
      </w:r>
      <w:r w:rsidR="00AE0F00" w:rsidRPr="001513BC">
        <w:t xml:space="preserve">entence </w:t>
      </w:r>
      <w:r w:rsidRPr="001513BC">
        <w:t>on Charge 2 to commence one</w:t>
      </w:r>
      <w:r w:rsidR="00AE0F00" w:rsidRPr="001513BC">
        <w:t xml:space="preserve"> month after </w:t>
      </w:r>
      <w:r w:rsidRPr="001513BC">
        <w:t>the sentence on C</w:t>
      </w:r>
      <w:r w:rsidR="00AE0F00" w:rsidRPr="001513BC">
        <w:t>harge 1 commences</w:t>
      </w:r>
      <w:r w:rsidRPr="001513BC">
        <w:t>.</w:t>
      </w:r>
    </w:p>
    <w:p w:rsidR="001C655F" w:rsidRPr="001513BC" w:rsidRDefault="001C655F" w:rsidP="001C655F">
      <w:pPr>
        <w:pStyle w:val="Heading1"/>
      </w:pPr>
      <w:r w:rsidRPr="001513BC">
        <w:t>Sentence on Charge 3 is to commence three months after the sentence on Charge 1 commences, that is, two month</w:t>
      </w:r>
      <w:r w:rsidR="00615DA7" w:rsidRPr="001513BC">
        <w:t>s after the sentence on Charge 2</w:t>
      </w:r>
      <w:r w:rsidRPr="001513BC">
        <w:t xml:space="preserve"> commences.</w:t>
      </w:r>
    </w:p>
    <w:p w:rsidR="001E0BB0" w:rsidRPr="001513BC" w:rsidRDefault="001C655F" w:rsidP="001E0BB0">
      <w:pPr>
        <w:pStyle w:val="Heading1"/>
      </w:pPr>
      <w:r w:rsidRPr="001513BC">
        <w:t>So Charge 3 is</w:t>
      </w:r>
      <w:r w:rsidR="00615DA7" w:rsidRPr="001513BC">
        <w:t xml:space="preserve"> the</w:t>
      </w:r>
      <w:r w:rsidRPr="001513BC">
        <w:t xml:space="preserve"> base sentence </w:t>
      </w:r>
      <w:r w:rsidR="00AE0F00" w:rsidRPr="001513BC">
        <w:t>an</w:t>
      </w:r>
      <w:r w:rsidRPr="001513BC">
        <w:t>d one month of the sentence on C</w:t>
      </w:r>
      <w:r w:rsidR="00AE0F00" w:rsidRPr="001513BC">
        <w:t>harge 1</w:t>
      </w:r>
      <w:r w:rsidRPr="001513BC">
        <w:t>; and two</w:t>
      </w:r>
      <w:r w:rsidR="00AE0F00" w:rsidRPr="001513BC">
        <w:t xml:space="preserve"> months of </w:t>
      </w:r>
      <w:r w:rsidRPr="001513BC">
        <w:t>sentence on C</w:t>
      </w:r>
      <w:r w:rsidR="00AE0F00" w:rsidRPr="001513BC">
        <w:t>harge 2</w:t>
      </w:r>
      <w:r w:rsidRPr="001513BC">
        <w:t>,</w:t>
      </w:r>
      <w:r w:rsidR="00AE0F00" w:rsidRPr="001513BC">
        <w:t xml:space="preserve"> are to be served cumulatively </w:t>
      </w:r>
      <w:r w:rsidRPr="001513BC">
        <w:t>up</w:t>
      </w:r>
      <w:r w:rsidR="00AE0F00" w:rsidRPr="001513BC">
        <w:t xml:space="preserve">on </w:t>
      </w:r>
      <w:r w:rsidR="00AE0F00" w:rsidRPr="001513BC">
        <w:lastRenderedPageBreak/>
        <w:t>each</w:t>
      </w:r>
      <w:r w:rsidRPr="001513BC">
        <w:t xml:space="preserve"> other and on Charge 3</w:t>
      </w:r>
      <w:r w:rsidR="001E0BB0" w:rsidRPr="001513BC">
        <w:t>.</w:t>
      </w:r>
    </w:p>
    <w:p w:rsidR="001E0BB0" w:rsidRPr="001513BC" w:rsidRDefault="001E0BB0" w:rsidP="001E0BB0">
      <w:pPr>
        <w:pStyle w:val="Heading1"/>
      </w:pPr>
      <w:r w:rsidRPr="001513BC">
        <w:t xml:space="preserve">That makes a total effective sentence of both State and Federal offences, of three years and three </w:t>
      </w:r>
      <w:r w:rsidR="00AE0F00" w:rsidRPr="001513BC">
        <w:t>months</w:t>
      </w:r>
      <w:r w:rsidRPr="001513BC">
        <w:t>.</w:t>
      </w:r>
    </w:p>
    <w:p w:rsidR="00AE0F00" w:rsidRPr="001513BC" w:rsidRDefault="001E0BB0" w:rsidP="00124A57">
      <w:pPr>
        <w:pStyle w:val="Heading1"/>
      </w:pPr>
      <w:r w:rsidRPr="001513BC">
        <w:t xml:space="preserve">I fix a non-parole period of one year and six </w:t>
      </w:r>
      <w:r w:rsidR="00AE0F00" w:rsidRPr="001513BC">
        <w:t>months</w:t>
      </w:r>
      <w:r w:rsidRPr="001513BC">
        <w:t>.  I direct that you must serve that</w:t>
      </w:r>
      <w:r w:rsidR="00124A57" w:rsidRPr="001513BC">
        <w:t xml:space="preserve"> before being eligible for parole. </w:t>
      </w:r>
    </w:p>
    <w:p w:rsidR="00137355" w:rsidRPr="001513BC" w:rsidRDefault="00124A57" w:rsidP="00AB1DD6">
      <w:pPr>
        <w:pStyle w:val="Heading1"/>
      </w:pPr>
      <w:r w:rsidRPr="001513BC">
        <w:t xml:space="preserve">I declare that you have spent three days in pre-sentence detention and direct that that be counted and reckoned as part of the sentence already served. </w:t>
      </w:r>
    </w:p>
    <w:p w:rsidR="00124A57" w:rsidRPr="001513BC" w:rsidRDefault="00124A57" w:rsidP="00AB1DD6">
      <w:pPr>
        <w:pStyle w:val="Heading1"/>
      </w:pPr>
      <w:r w:rsidRPr="001513BC">
        <w:t xml:space="preserve">I declare, pursuant to s.6AAA of the </w:t>
      </w:r>
      <w:r w:rsidRPr="001513BC">
        <w:rPr>
          <w:i/>
        </w:rPr>
        <w:t>Sentencing Act</w:t>
      </w:r>
      <w:r w:rsidRPr="001513BC">
        <w:t xml:space="preserve">, that but for your pleas of guilty, I would have sentenced you to a total effective sentence of four years and six months, with a non-parole period of three years.  </w:t>
      </w:r>
    </w:p>
    <w:p w:rsidR="00177B02" w:rsidRPr="001513BC" w:rsidRDefault="00124A57" w:rsidP="00AB1DD6">
      <w:pPr>
        <w:pStyle w:val="Heading1"/>
      </w:pPr>
      <w:r w:rsidRPr="001513BC">
        <w:t>Being satisfied that it is appropriate to make the forfeiture order</w:t>
      </w:r>
      <w:r w:rsidR="00177B02" w:rsidRPr="001513BC">
        <w:t xml:space="preserve"> sought, I do so.  </w:t>
      </w:r>
    </w:p>
    <w:p w:rsidR="00C34F5B" w:rsidRPr="001513BC" w:rsidRDefault="00C34F5B" w:rsidP="00AB1DD6">
      <w:pPr>
        <w:pStyle w:val="Heading1"/>
      </w:pPr>
      <w:r w:rsidRPr="001513BC">
        <w:t xml:space="preserve">Could you remove Mr </w:t>
      </w:r>
      <w:r w:rsidR="00BA52C3" w:rsidRPr="001513BC">
        <w:t>Cernagoj</w:t>
      </w:r>
      <w:r w:rsidRPr="001513BC">
        <w:t xml:space="preserve"> please.  </w:t>
      </w:r>
    </w:p>
    <w:p w:rsidR="00177B02" w:rsidRPr="001513BC" w:rsidRDefault="00B31D63" w:rsidP="00B31D63">
      <w:pPr>
        <w:pStyle w:val="Heading1"/>
        <w:numPr>
          <w:ilvl w:val="0"/>
          <w:numId w:val="0"/>
        </w:numPr>
        <w:ind w:left="1440"/>
        <w:jc w:val="center"/>
      </w:pPr>
      <w:r w:rsidRPr="001513BC">
        <w:t>- - -</w:t>
      </w:r>
    </w:p>
    <w:sectPr w:rsidR="00177B02" w:rsidRPr="001513BC">
      <w:headerReference w:type="default" r:id="rId14"/>
      <w:footerReference w:type="default" r:id="rId15"/>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B4" w:rsidRDefault="00FE52B4">
      <w:r>
        <w:separator/>
      </w:r>
    </w:p>
  </w:endnote>
  <w:endnote w:type="continuationSeparator" w:id="0">
    <w:p w:rsidR="00FE52B4" w:rsidRDefault="00FE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1E" w:rsidRDefault="00E27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701E" w:rsidRDefault="00E270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1E" w:rsidRDefault="00E2701E"/>
  <w:p w:rsidR="00E2701E" w:rsidRDefault="00E2701E">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E2701E">
      <w:tc>
        <w:tcPr>
          <w:tcW w:w="8208" w:type="dxa"/>
        </w:tcPr>
        <w:p w:rsidR="00E2701E" w:rsidRDefault="00E2701E">
          <w:pPr>
            <w:rPr>
              <w:sz w:val="16"/>
            </w:rPr>
          </w:pPr>
          <w:bookmarkStart w:id="21" w:name="FOOTERloc1"/>
          <w:bookmarkEnd w:id="21"/>
          <w:r>
            <w:rPr>
              <w:sz w:val="16"/>
            </w:rPr>
            <w:t>COUNTY COURT OF VICTORIA</w:t>
          </w:r>
        </w:p>
        <w:p w:rsidR="00E2701E" w:rsidRDefault="00E2701E" w:rsidP="00C743F0">
          <w:pPr>
            <w:pStyle w:val="Footer-Cover"/>
            <w:jc w:val="left"/>
          </w:pPr>
          <w:r>
            <w:t>250 William Street, Melbourne</w:t>
          </w:r>
        </w:p>
        <w:p w:rsidR="00E2701E" w:rsidRDefault="00E2701E" w:rsidP="00C743F0">
          <w:pPr>
            <w:pStyle w:val="Footer-Cover"/>
            <w:jc w:val="left"/>
            <w:rPr>
              <w:caps/>
            </w:rPr>
          </w:pPr>
          <w:r>
            <w:t>189639</w:t>
          </w:r>
        </w:p>
      </w:tc>
      <w:tc>
        <w:tcPr>
          <w:tcW w:w="1800" w:type="dxa"/>
        </w:tcPr>
        <w:p w:rsidR="00E2701E" w:rsidRDefault="00E2701E">
          <w:pPr>
            <w:pStyle w:val="Footer-Cover"/>
            <w:jc w:val="right"/>
          </w:pPr>
        </w:p>
        <w:p w:rsidR="00E2701E" w:rsidRDefault="00E2701E">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F64406">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F64406">
            <w:rPr>
              <w:rStyle w:val="PageNumber"/>
              <w:b/>
              <w:noProof/>
              <w:color w:val="FFFFFF"/>
              <w:sz w:val="2"/>
            </w:rPr>
            <w:t>!Undefined Bookmark, I</w:t>
          </w:r>
          <w:r>
            <w:rPr>
              <w:rStyle w:val="PageNumber"/>
              <w:color w:val="FFFFFF"/>
              <w:sz w:val="2"/>
            </w:rPr>
            <w:fldChar w:fldCharType="end"/>
          </w:r>
        </w:p>
      </w:tc>
    </w:tr>
  </w:tbl>
  <w:p w:rsidR="00E2701E" w:rsidRDefault="00E2701E">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91" w:rsidRDefault="001276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1E" w:rsidRDefault="00E2701E">
    <w:pPr>
      <w:spacing w:line="240" w:lineRule="auto"/>
      <w:ind w:right="360"/>
      <w:jc w:val="left"/>
    </w:pPr>
    <w:bookmarkStart w:id="24"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E2701E">
      <w:tc>
        <w:tcPr>
          <w:tcW w:w="4786" w:type="dxa"/>
          <w:vAlign w:val="center"/>
        </w:tcPr>
        <w:p w:rsidR="00E2701E" w:rsidRDefault="00E2701E" w:rsidP="000A3FB3">
          <w:pPr>
            <w:pStyle w:val="Footer"/>
            <w:rPr>
              <w:caps/>
              <w:szCs w:val="16"/>
            </w:rPr>
          </w:pPr>
          <w:bookmarkStart w:id="25" w:name="FOOTERloc2"/>
          <w:bookmarkEnd w:id="25"/>
          <w:r>
            <w:rPr>
              <w:caps/>
              <w:szCs w:val="16"/>
            </w:rPr>
            <w:t>VCC:</w:t>
          </w:r>
          <w:bookmarkStart w:id="26" w:name="Initials2"/>
          <w:bookmarkEnd w:id="26"/>
        </w:p>
        <w:p w:rsidR="00E2701E" w:rsidRDefault="00E2701E" w:rsidP="000A3FB3">
          <w:pPr>
            <w:pStyle w:val="Footer"/>
            <w:rPr>
              <w:caps/>
              <w:szCs w:val="16"/>
            </w:rPr>
          </w:pPr>
          <w:r>
            <w:rPr>
              <w:caps/>
              <w:szCs w:val="16"/>
            </w:rPr>
            <w:t>PJ:PJ</w:t>
          </w:r>
        </w:p>
      </w:tc>
      <w:tc>
        <w:tcPr>
          <w:tcW w:w="709" w:type="dxa"/>
        </w:tcPr>
        <w:p w:rsidR="00E2701E" w:rsidRDefault="00E2701E">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64406">
            <w:rPr>
              <w:rStyle w:val="PageNumber"/>
              <w:noProof/>
              <w:sz w:val="20"/>
            </w:rPr>
            <w:t>7</w:t>
          </w:r>
          <w:r>
            <w:rPr>
              <w:rStyle w:val="PageNumber"/>
              <w:sz w:val="20"/>
            </w:rPr>
            <w:fldChar w:fldCharType="end"/>
          </w:r>
        </w:p>
      </w:tc>
      <w:tc>
        <w:tcPr>
          <w:tcW w:w="4286" w:type="dxa"/>
        </w:tcPr>
        <w:p w:rsidR="00E2701E" w:rsidRDefault="00E2701E" w:rsidP="0030546D">
          <w:pPr>
            <w:pStyle w:val="Footer"/>
            <w:jc w:val="right"/>
            <w:rPr>
              <w:caps/>
              <w:sz w:val="20"/>
            </w:rPr>
          </w:pPr>
          <w:bookmarkStart w:id="27" w:name="DELs"/>
          <w:r>
            <w:rPr>
              <w:caps/>
              <w:sz w:val="20"/>
            </w:rPr>
            <w:t>SENTENCE</w:t>
          </w:r>
          <w:bookmarkEnd w:id="27"/>
        </w:p>
        <w:p w:rsidR="00E2701E" w:rsidRPr="001424DF" w:rsidRDefault="00E2701E" w:rsidP="00D424B8">
          <w:pPr>
            <w:pStyle w:val="Footer"/>
            <w:jc w:val="right"/>
            <w:rPr>
              <w:sz w:val="20"/>
            </w:rPr>
          </w:pPr>
          <w:bookmarkStart w:id="28" w:name="CaseCited"/>
          <w:bookmarkEnd w:id="28"/>
        </w:p>
      </w:tc>
    </w:tr>
    <w:bookmarkEnd w:id="24"/>
  </w:tbl>
  <w:p w:rsidR="00E2701E" w:rsidRDefault="00E2701E">
    <w:pPr>
      <w:pStyle w:val="Foote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B4" w:rsidRDefault="00FE52B4">
      <w:r>
        <w:separator/>
      </w:r>
    </w:p>
  </w:footnote>
  <w:footnote w:type="continuationSeparator" w:id="0">
    <w:p w:rsidR="00FE52B4" w:rsidRDefault="00FE52B4">
      <w:r>
        <w:continuationSeparator/>
      </w:r>
    </w:p>
  </w:footnote>
  <w:footnote w:id="1">
    <w:p w:rsidR="00BA52C3" w:rsidRDefault="00BA52C3">
      <w:pPr>
        <w:pStyle w:val="FootnoteText"/>
      </w:pPr>
      <w:r>
        <w:rPr>
          <w:rStyle w:val="FootnoteReference"/>
        </w:rPr>
        <w:footnoteRef/>
      </w:r>
      <w:r>
        <w:t xml:space="preserve"> Armand Cernagoj is a pseudonym.</w:t>
      </w:r>
    </w:p>
  </w:footnote>
  <w:footnote w:id="2">
    <w:p w:rsidR="00BA52C3" w:rsidRDefault="00BA52C3">
      <w:pPr>
        <w:pStyle w:val="FootnoteText"/>
      </w:pPr>
      <w:r>
        <w:rPr>
          <w:rStyle w:val="FootnoteReference"/>
        </w:rPr>
        <w:footnoteRef/>
      </w:r>
      <w:r>
        <w:t xml:space="preserve"> Dejan Ciceli is a pseudonym.</w:t>
      </w:r>
    </w:p>
  </w:footnote>
  <w:footnote w:id="3">
    <w:p w:rsidR="00BA52C3" w:rsidRDefault="00BA52C3">
      <w:pPr>
        <w:pStyle w:val="FootnoteText"/>
      </w:pPr>
      <w:r>
        <w:rPr>
          <w:rStyle w:val="FootnoteReference"/>
        </w:rPr>
        <w:footnoteRef/>
      </w:r>
      <w:r>
        <w:t xml:space="preserve"> Mitjan Kitek is a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91" w:rsidRDefault="00127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1E" w:rsidRDefault="00E2701E" w:rsidP="002364D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691" w:rsidRDefault="001276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1E" w:rsidRPr="00427241" w:rsidRDefault="00E2701E" w:rsidP="00427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2DF60B1"/>
    <w:multiLevelType w:val="singleLevel"/>
    <w:tmpl w:val="B672C992"/>
    <w:lvl w:ilvl="0">
      <w:start w:val="1"/>
      <w:numFmt w:val="decimal"/>
      <w:pStyle w:val="Heading1"/>
      <w:lvlText w:val="%1"/>
      <w:lvlJc w:val="left"/>
      <w:pPr>
        <w:tabs>
          <w:tab w:val="num" w:pos="360"/>
        </w:tabs>
        <w:ind w:left="0" w:firstLine="0"/>
      </w:pPr>
      <w:rPr>
        <w:sz w:val="20"/>
      </w:rPr>
    </w:lvl>
  </w:abstractNum>
  <w:abstractNum w:abstractNumId="5">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6">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7">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AE635BA"/>
    <w:multiLevelType w:val="singleLevel"/>
    <w:tmpl w:val="0C09000F"/>
    <w:lvl w:ilvl="0">
      <w:start w:val="1"/>
      <w:numFmt w:val="decimal"/>
      <w:lvlText w:val="%1."/>
      <w:lvlJc w:val="left"/>
      <w:pPr>
        <w:tabs>
          <w:tab w:val="num" w:pos="360"/>
        </w:tabs>
        <w:ind w:left="360" w:hanging="360"/>
      </w:pPr>
    </w:lvl>
  </w:abstractNum>
  <w:abstractNum w:abstractNumId="9">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num w:numId="1">
    <w:abstractNumId w:val="7"/>
  </w:num>
  <w:num w:numId="2">
    <w:abstractNumId w:val="3"/>
  </w:num>
  <w:num w:numId="3">
    <w:abstractNumId w:val="9"/>
  </w:num>
  <w:num w:numId="4">
    <w:abstractNumId w:val="2"/>
  </w:num>
  <w:num w:numId="5">
    <w:abstractNumId w:val="4"/>
  </w:num>
  <w:num w:numId="6">
    <w:abstractNumId w:val="6"/>
  </w:num>
  <w:num w:numId="7">
    <w:abstractNumId w:val="1"/>
  </w:num>
  <w:num w:numId="8">
    <w:abstractNumId w:val="8"/>
  </w:num>
  <w:num w:numId="9">
    <w:abstractNumId w:val="5"/>
  </w:num>
  <w:num w:numId="10">
    <w:abstractNumId w:val="4"/>
  </w:num>
  <w:num w:numId="11">
    <w:abstractNumId w:val="0"/>
  </w:num>
  <w:num w:numId="12">
    <w:abstractNumId w:val="4"/>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B9"/>
    <w:rsid w:val="000078EA"/>
    <w:rsid w:val="000216F3"/>
    <w:rsid w:val="0002285A"/>
    <w:rsid w:val="00023E06"/>
    <w:rsid w:val="00024808"/>
    <w:rsid w:val="00033142"/>
    <w:rsid w:val="00033630"/>
    <w:rsid w:val="00035D31"/>
    <w:rsid w:val="00040D30"/>
    <w:rsid w:val="00040D7C"/>
    <w:rsid w:val="00040DBA"/>
    <w:rsid w:val="00047935"/>
    <w:rsid w:val="00060313"/>
    <w:rsid w:val="0006334B"/>
    <w:rsid w:val="00095AE3"/>
    <w:rsid w:val="000A3FB3"/>
    <w:rsid w:val="000A775B"/>
    <w:rsid w:val="000C4B3B"/>
    <w:rsid w:val="000C75CB"/>
    <w:rsid w:val="000D2693"/>
    <w:rsid w:val="000D7CB4"/>
    <w:rsid w:val="000E1761"/>
    <w:rsid w:val="000E17CB"/>
    <w:rsid w:val="000F4EF3"/>
    <w:rsid w:val="000F768D"/>
    <w:rsid w:val="00102025"/>
    <w:rsid w:val="001111D3"/>
    <w:rsid w:val="00115BA1"/>
    <w:rsid w:val="00124A57"/>
    <w:rsid w:val="00127691"/>
    <w:rsid w:val="00135C87"/>
    <w:rsid w:val="00137355"/>
    <w:rsid w:val="001424DF"/>
    <w:rsid w:val="001513BC"/>
    <w:rsid w:val="001547F7"/>
    <w:rsid w:val="001558F3"/>
    <w:rsid w:val="00160D63"/>
    <w:rsid w:val="00164E01"/>
    <w:rsid w:val="00177B02"/>
    <w:rsid w:val="0018164D"/>
    <w:rsid w:val="001928B3"/>
    <w:rsid w:val="00197142"/>
    <w:rsid w:val="0019716F"/>
    <w:rsid w:val="001A231F"/>
    <w:rsid w:val="001A5E1E"/>
    <w:rsid w:val="001B1195"/>
    <w:rsid w:val="001C0905"/>
    <w:rsid w:val="001C655F"/>
    <w:rsid w:val="001D312C"/>
    <w:rsid w:val="001D61A5"/>
    <w:rsid w:val="001D6CE1"/>
    <w:rsid w:val="001D6EF7"/>
    <w:rsid w:val="001E0BB0"/>
    <w:rsid w:val="0020590F"/>
    <w:rsid w:val="00210E7F"/>
    <w:rsid w:val="00216E3D"/>
    <w:rsid w:val="00217707"/>
    <w:rsid w:val="00223DE7"/>
    <w:rsid w:val="00224531"/>
    <w:rsid w:val="002364D4"/>
    <w:rsid w:val="0023669A"/>
    <w:rsid w:val="00242D93"/>
    <w:rsid w:val="0024775D"/>
    <w:rsid w:val="0026430D"/>
    <w:rsid w:val="00266F1F"/>
    <w:rsid w:val="00274431"/>
    <w:rsid w:val="00276038"/>
    <w:rsid w:val="00294D40"/>
    <w:rsid w:val="00295864"/>
    <w:rsid w:val="002971C8"/>
    <w:rsid w:val="002A2A46"/>
    <w:rsid w:val="002A4749"/>
    <w:rsid w:val="002B7989"/>
    <w:rsid w:val="002E0A75"/>
    <w:rsid w:val="002E3281"/>
    <w:rsid w:val="002E699C"/>
    <w:rsid w:val="002F1EC6"/>
    <w:rsid w:val="002F2AC6"/>
    <w:rsid w:val="002F64CD"/>
    <w:rsid w:val="00300EEE"/>
    <w:rsid w:val="003037EE"/>
    <w:rsid w:val="00303E15"/>
    <w:rsid w:val="0030546D"/>
    <w:rsid w:val="003159B9"/>
    <w:rsid w:val="003212DE"/>
    <w:rsid w:val="003216BD"/>
    <w:rsid w:val="00325D59"/>
    <w:rsid w:val="00354A60"/>
    <w:rsid w:val="00354DC9"/>
    <w:rsid w:val="003615F2"/>
    <w:rsid w:val="00367DDC"/>
    <w:rsid w:val="003736CC"/>
    <w:rsid w:val="003748B5"/>
    <w:rsid w:val="00376438"/>
    <w:rsid w:val="003800A4"/>
    <w:rsid w:val="003963BC"/>
    <w:rsid w:val="003A06EC"/>
    <w:rsid w:val="003B703F"/>
    <w:rsid w:val="003C71E8"/>
    <w:rsid w:val="003D29D2"/>
    <w:rsid w:val="003D3655"/>
    <w:rsid w:val="003D5179"/>
    <w:rsid w:val="003D69E3"/>
    <w:rsid w:val="003E08DB"/>
    <w:rsid w:val="003E2D3C"/>
    <w:rsid w:val="003E3B14"/>
    <w:rsid w:val="003E6A2A"/>
    <w:rsid w:val="003F0074"/>
    <w:rsid w:val="00401BC0"/>
    <w:rsid w:val="004069A9"/>
    <w:rsid w:val="00407A50"/>
    <w:rsid w:val="00412E22"/>
    <w:rsid w:val="0042706E"/>
    <w:rsid w:val="00427241"/>
    <w:rsid w:val="00432CDC"/>
    <w:rsid w:val="0045080F"/>
    <w:rsid w:val="00453785"/>
    <w:rsid w:val="00457B9C"/>
    <w:rsid w:val="0046702F"/>
    <w:rsid w:val="004727C9"/>
    <w:rsid w:val="0047498B"/>
    <w:rsid w:val="00474CE1"/>
    <w:rsid w:val="00475E57"/>
    <w:rsid w:val="004908F8"/>
    <w:rsid w:val="00491C6C"/>
    <w:rsid w:val="00497EF9"/>
    <w:rsid w:val="004C734D"/>
    <w:rsid w:val="004D5D60"/>
    <w:rsid w:val="004D75DC"/>
    <w:rsid w:val="004E2FE5"/>
    <w:rsid w:val="004E427A"/>
    <w:rsid w:val="004E7BC8"/>
    <w:rsid w:val="0050679D"/>
    <w:rsid w:val="00513C2A"/>
    <w:rsid w:val="005153F3"/>
    <w:rsid w:val="00532488"/>
    <w:rsid w:val="00553A40"/>
    <w:rsid w:val="0055775C"/>
    <w:rsid w:val="00557840"/>
    <w:rsid w:val="005773A7"/>
    <w:rsid w:val="00577770"/>
    <w:rsid w:val="00593471"/>
    <w:rsid w:val="005A3100"/>
    <w:rsid w:val="005B19D3"/>
    <w:rsid w:val="005B3831"/>
    <w:rsid w:val="005B6099"/>
    <w:rsid w:val="005C230B"/>
    <w:rsid w:val="005C65FF"/>
    <w:rsid w:val="005C6E28"/>
    <w:rsid w:val="005D72A6"/>
    <w:rsid w:val="005E398C"/>
    <w:rsid w:val="005F76FA"/>
    <w:rsid w:val="006046F4"/>
    <w:rsid w:val="00606BA4"/>
    <w:rsid w:val="00612206"/>
    <w:rsid w:val="0061495B"/>
    <w:rsid w:val="006158C6"/>
    <w:rsid w:val="00615DA7"/>
    <w:rsid w:val="00631368"/>
    <w:rsid w:val="006415B5"/>
    <w:rsid w:val="00647BB7"/>
    <w:rsid w:val="006516FD"/>
    <w:rsid w:val="00652CCC"/>
    <w:rsid w:val="0066136E"/>
    <w:rsid w:val="0066289B"/>
    <w:rsid w:val="0067135B"/>
    <w:rsid w:val="00673E32"/>
    <w:rsid w:val="006802E1"/>
    <w:rsid w:val="006875EC"/>
    <w:rsid w:val="006B1599"/>
    <w:rsid w:val="006B36D4"/>
    <w:rsid w:val="006B64D4"/>
    <w:rsid w:val="006C11D7"/>
    <w:rsid w:val="006C336D"/>
    <w:rsid w:val="006C55C8"/>
    <w:rsid w:val="006E1BE9"/>
    <w:rsid w:val="006E6CE7"/>
    <w:rsid w:val="006F51F7"/>
    <w:rsid w:val="006F70A1"/>
    <w:rsid w:val="006F723F"/>
    <w:rsid w:val="00733E2E"/>
    <w:rsid w:val="007419CF"/>
    <w:rsid w:val="00741F8B"/>
    <w:rsid w:val="00742CAF"/>
    <w:rsid w:val="00745B32"/>
    <w:rsid w:val="00747B34"/>
    <w:rsid w:val="00752565"/>
    <w:rsid w:val="00757628"/>
    <w:rsid w:val="00760CFD"/>
    <w:rsid w:val="00764158"/>
    <w:rsid w:val="007679D4"/>
    <w:rsid w:val="00777037"/>
    <w:rsid w:val="00780982"/>
    <w:rsid w:val="00795681"/>
    <w:rsid w:val="007A68C9"/>
    <w:rsid w:val="007D1340"/>
    <w:rsid w:val="007D769C"/>
    <w:rsid w:val="007D7F0D"/>
    <w:rsid w:val="007F295C"/>
    <w:rsid w:val="0080311D"/>
    <w:rsid w:val="00813E98"/>
    <w:rsid w:val="008200DC"/>
    <w:rsid w:val="00831FC7"/>
    <w:rsid w:val="0085632F"/>
    <w:rsid w:val="008578F5"/>
    <w:rsid w:val="00865EE7"/>
    <w:rsid w:val="0087733A"/>
    <w:rsid w:val="008806D8"/>
    <w:rsid w:val="008861F4"/>
    <w:rsid w:val="008876A7"/>
    <w:rsid w:val="008B431F"/>
    <w:rsid w:val="008C36BB"/>
    <w:rsid w:val="008D0805"/>
    <w:rsid w:val="008D6AFB"/>
    <w:rsid w:val="008E0E37"/>
    <w:rsid w:val="008F04F9"/>
    <w:rsid w:val="008F2C95"/>
    <w:rsid w:val="00904D4A"/>
    <w:rsid w:val="0091639B"/>
    <w:rsid w:val="00923A43"/>
    <w:rsid w:val="00930B2B"/>
    <w:rsid w:val="009429BF"/>
    <w:rsid w:val="00946A10"/>
    <w:rsid w:val="00960E39"/>
    <w:rsid w:val="00975B38"/>
    <w:rsid w:val="009A4E66"/>
    <w:rsid w:val="009C048C"/>
    <w:rsid w:val="009C269E"/>
    <w:rsid w:val="009C53E3"/>
    <w:rsid w:val="009C78F2"/>
    <w:rsid w:val="009C7A63"/>
    <w:rsid w:val="009D27A3"/>
    <w:rsid w:val="009F22BC"/>
    <w:rsid w:val="009F5396"/>
    <w:rsid w:val="009F7EA7"/>
    <w:rsid w:val="00A01A6B"/>
    <w:rsid w:val="00A07629"/>
    <w:rsid w:val="00A21840"/>
    <w:rsid w:val="00A22026"/>
    <w:rsid w:val="00A23BB8"/>
    <w:rsid w:val="00A25790"/>
    <w:rsid w:val="00A323A5"/>
    <w:rsid w:val="00A64728"/>
    <w:rsid w:val="00A74049"/>
    <w:rsid w:val="00A8242F"/>
    <w:rsid w:val="00A85375"/>
    <w:rsid w:val="00A91756"/>
    <w:rsid w:val="00A94DD9"/>
    <w:rsid w:val="00A96E37"/>
    <w:rsid w:val="00AA0E5E"/>
    <w:rsid w:val="00AA0F62"/>
    <w:rsid w:val="00AA43E7"/>
    <w:rsid w:val="00AA4D1F"/>
    <w:rsid w:val="00AA7D3B"/>
    <w:rsid w:val="00AB173F"/>
    <w:rsid w:val="00AB1DD6"/>
    <w:rsid w:val="00AC0B76"/>
    <w:rsid w:val="00AC0D9A"/>
    <w:rsid w:val="00AC128E"/>
    <w:rsid w:val="00AC2041"/>
    <w:rsid w:val="00AD1A19"/>
    <w:rsid w:val="00AE0F00"/>
    <w:rsid w:val="00AE79B6"/>
    <w:rsid w:val="00AF73F8"/>
    <w:rsid w:val="00AF7B58"/>
    <w:rsid w:val="00B010E6"/>
    <w:rsid w:val="00B03284"/>
    <w:rsid w:val="00B138F3"/>
    <w:rsid w:val="00B2331F"/>
    <w:rsid w:val="00B31D63"/>
    <w:rsid w:val="00B32606"/>
    <w:rsid w:val="00B37BBF"/>
    <w:rsid w:val="00B47947"/>
    <w:rsid w:val="00B52E25"/>
    <w:rsid w:val="00B54CA5"/>
    <w:rsid w:val="00B84301"/>
    <w:rsid w:val="00BA22EC"/>
    <w:rsid w:val="00BA4BF7"/>
    <w:rsid w:val="00BA52C3"/>
    <w:rsid w:val="00BB459B"/>
    <w:rsid w:val="00BB72EA"/>
    <w:rsid w:val="00BC1580"/>
    <w:rsid w:val="00BD03D3"/>
    <w:rsid w:val="00BD23C6"/>
    <w:rsid w:val="00BD7D43"/>
    <w:rsid w:val="00BF482E"/>
    <w:rsid w:val="00BF4EE9"/>
    <w:rsid w:val="00C002D9"/>
    <w:rsid w:val="00C06EAF"/>
    <w:rsid w:val="00C077FF"/>
    <w:rsid w:val="00C125B0"/>
    <w:rsid w:val="00C22643"/>
    <w:rsid w:val="00C259A2"/>
    <w:rsid w:val="00C34F5B"/>
    <w:rsid w:val="00C40A48"/>
    <w:rsid w:val="00C43E20"/>
    <w:rsid w:val="00C4465A"/>
    <w:rsid w:val="00C6223D"/>
    <w:rsid w:val="00C65B11"/>
    <w:rsid w:val="00C70C50"/>
    <w:rsid w:val="00C743F0"/>
    <w:rsid w:val="00C80216"/>
    <w:rsid w:val="00C83F96"/>
    <w:rsid w:val="00C904D3"/>
    <w:rsid w:val="00C9304A"/>
    <w:rsid w:val="00C94599"/>
    <w:rsid w:val="00CA2FF0"/>
    <w:rsid w:val="00CA3805"/>
    <w:rsid w:val="00CA6F05"/>
    <w:rsid w:val="00CB0C1D"/>
    <w:rsid w:val="00CC5E16"/>
    <w:rsid w:val="00CE101A"/>
    <w:rsid w:val="00CE16A3"/>
    <w:rsid w:val="00CE2327"/>
    <w:rsid w:val="00CE2DFC"/>
    <w:rsid w:val="00CE5FF5"/>
    <w:rsid w:val="00CF5DB1"/>
    <w:rsid w:val="00D15756"/>
    <w:rsid w:val="00D40104"/>
    <w:rsid w:val="00D40F95"/>
    <w:rsid w:val="00D424B8"/>
    <w:rsid w:val="00D43658"/>
    <w:rsid w:val="00D44F42"/>
    <w:rsid w:val="00D71246"/>
    <w:rsid w:val="00D762E9"/>
    <w:rsid w:val="00D8109B"/>
    <w:rsid w:val="00D819BF"/>
    <w:rsid w:val="00D82CDF"/>
    <w:rsid w:val="00D90F29"/>
    <w:rsid w:val="00D913F7"/>
    <w:rsid w:val="00D9292C"/>
    <w:rsid w:val="00D93452"/>
    <w:rsid w:val="00DA5D70"/>
    <w:rsid w:val="00DD2DEE"/>
    <w:rsid w:val="00DD567D"/>
    <w:rsid w:val="00DE20F1"/>
    <w:rsid w:val="00DE6418"/>
    <w:rsid w:val="00DF299A"/>
    <w:rsid w:val="00DF39F2"/>
    <w:rsid w:val="00E06E9F"/>
    <w:rsid w:val="00E100D5"/>
    <w:rsid w:val="00E2701E"/>
    <w:rsid w:val="00E4265F"/>
    <w:rsid w:val="00E74ED6"/>
    <w:rsid w:val="00E84CA5"/>
    <w:rsid w:val="00E90DEC"/>
    <w:rsid w:val="00EC10C3"/>
    <w:rsid w:val="00EC494C"/>
    <w:rsid w:val="00EC5536"/>
    <w:rsid w:val="00EC5BEC"/>
    <w:rsid w:val="00EC7431"/>
    <w:rsid w:val="00EE323D"/>
    <w:rsid w:val="00EE5007"/>
    <w:rsid w:val="00EE6E3B"/>
    <w:rsid w:val="00EF7CF7"/>
    <w:rsid w:val="00F01570"/>
    <w:rsid w:val="00F239B1"/>
    <w:rsid w:val="00F23A3B"/>
    <w:rsid w:val="00F41C7D"/>
    <w:rsid w:val="00F64406"/>
    <w:rsid w:val="00F72726"/>
    <w:rsid w:val="00F76895"/>
    <w:rsid w:val="00F91034"/>
    <w:rsid w:val="00F93A9C"/>
    <w:rsid w:val="00F94577"/>
    <w:rsid w:val="00FB14CB"/>
    <w:rsid w:val="00FB1E66"/>
    <w:rsid w:val="00FB2514"/>
    <w:rsid w:val="00FC1E3D"/>
    <w:rsid w:val="00FD305F"/>
    <w:rsid w:val="00FE20C3"/>
    <w:rsid w:val="00FE364F"/>
    <w:rsid w:val="00FE52B4"/>
    <w:rsid w:val="00FE6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494BC-8B85-4389-8E76-9FF6348B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40DBA"/>
    <w:pPr>
      <w:widowControl w:val="0"/>
      <w:spacing w:line="240" w:lineRule="atLeast"/>
      <w:jc w:val="both"/>
    </w:pPr>
    <w:rPr>
      <w:rFonts w:ascii="Arial" w:hAnsi="Arial"/>
      <w:sz w:val="24"/>
      <w:lang w:eastAsia="en-US"/>
    </w:rPr>
  </w:style>
  <w:style w:type="paragraph" w:styleId="Heading1">
    <w:name w:val="heading 1"/>
    <w:aliases w:val="Para 1 2 3"/>
    <w:basedOn w:val="Normal"/>
    <w:qFormat/>
    <w:pPr>
      <w:numPr>
        <w:numId w:val="12"/>
      </w:numPr>
      <w:tabs>
        <w:tab w:val="clear" w:pos="360"/>
      </w:tabs>
      <w:spacing w:after="240" w:line="480" w:lineRule="atLeast"/>
      <w:ind w:left="1440" w:hanging="720"/>
      <w:outlineLvl w:val="0"/>
    </w:pPr>
    <w:rPr>
      <w:kern w:val="28"/>
    </w:rPr>
  </w:style>
  <w:style w:type="paragraph" w:styleId="Heading2">
    <w:name w:val="heading 2"/>
    <w:basedOn w:val="Normal"/>
    <w:next w:val="Normal"/>
    <w:pPr>
      <w:keepNext/>
      <w:spacing w:before="240" w:line="240" w:lineRule="auto"/>
      <w:ind w:right="720"/>
      <w:outlineLvl w:val="1"/>
    </w:pPr>
  </w:style>
  <w:style w:type="paragraph" w:styleId="Heading3">
    <w:name w:val="heading 3"/>
    <w:basedOn w:val="Normal"/>
    <w:next w:val="Normal"/>
    <w:pPr>
      <w:keepNext/>
      <w:spacing w:before="240" w:line="240" w:lineRule="auto"/>
      <w:ind w:right="720"/>
      <w:outlineLvl w:val="2"/>
    </w:pPr>
  </w:style>
  <w:style w:type="paragraph" w:styleId="Heading4">
    <w:name w:val="heading 4"/>
    <w:basedOn w:val="Normal"/>
    <w:next w:val="Normal"/>
    <w:pPr>
      <w:keepNext/>
      <w:spacing w:before="240" w:line="240" w:lineRule="auto"/>
      <w:ind w:right="720"/>
      <w:outlineLvl w:val="3"/>
    </w:pPr>
  </w:style>
  <w:style w:type="paragraph" w:styleId="Heading5">
    <w:name w:val="heading 5"/>
    <w:basedOn w:val="Normal"/>
    <w:next w:val="Normal"/>
    <w:pPr>
      <w:keepNext/>
      <w:numPr>
        <w:ilvl w:val="4"/>
        <w:numId w:val="13"/>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pPr>
      <w:keepNext/>
      <w:numPr>
        <w:ilvl w:val="5"/>
        <w:numId w:val="14"/>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line="240" w:lineRule="auto"/>
      <w:jc w:val="left"/>
    </w:pPr>
    <w:rPr>
      <w:sz w:val="16"/>
    </w:rPr>
  </w:style>
  <w:style w:type="paragraph" w:styleId="Header">
    <w:name w:val="header"/>
    <w:basedOn w:val="Normal"/>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uiPriority w:val="5"/>
    <w:qFormat/>
    <w:rsid w:val="00040D30"/>
    <w:pPr>
      <w:spacing w:after="240"/>
      <w:ind w:left="1973" w:right="720" w:hanging="102"/>
    </w:pPr>
    <w:rPr>
      <w:sz w:val="22"/>
    </w:rPr>
  </w:style>
  <w:style w:type="paragraph" w:customStyle="1" w:styleId="SideHeading">
    <w:name w:val="Side Heading"/>
    <w:basedOn w:val="Normal"/>
    <w:uiPriority w:val="6"/>
    <w:qFormat/>
    <w:pPr>
      <w:spacing w:after="240" w:line="240" w:lineRule="auto"/>
      <w:ind w:left="720" w:right="720"/>
    </w:pPr>
  </w:style>
  <w:style w:type="paragraph" w:customStyle="1" w:styleId="Para-Indent">
    <w:name w:val="Para - Indent"/>
    <w:basedOn w:val="Normal"/>
    <w:uiPriority w:val="6"/>
    <w:qFormat/>
    <w:pPr>
      <w:spacing w:after="240" w:line="480" w:lineRule="atLeast"/>
      <w:ind w:left="1440" w:hanging="720"/>
    </w:pPr>
  </w:style>
  <w:style w:type="paragraph" w:customStyle="1" w:styleId="Para">
    <w:name w:val="Para"/>
    <w:basedOn w:val="Normal"/>
    <w:uiPriority w:val="1"/>
    <w:qFormat/>
    <w:pPr>
      <w:spacing w:after="240" w:line="480" w:lineRule="atLeast"/>
      <w:ind w:left="144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pPr>
      <w:tabs>
        <w:tab w:val="right" w:leader="dot" w:pos="9753"/>
      </w:tabs>
      <w:spacing w:before="120" w:line="240" w:lineRule="auto"/>
    </w:pPr>
    <w:rPr>
      <w:b/>
      <w:noProof/>
    </w:rPr>
  </w:style>
  <w:style w:type="paragraph" w:customStyle="1" w:styleId="Heading10">
    <w:name w:val="Heading1"/>
    <w:basedOn w:val="Normal"/>
    <w:next w:val="Heading1"/>
    <w:uiPriority w:val="5"/>
    <w:qFormat/>
    <w:rsid w:val="008E0E37"/>
    <w:pPr>
      <w:keepNext/>
      <w:spacing w:before="240" w:line="240" w:lineRule="auto"/>
      <w:ind w:left="720"/>
    </w:pPr>
    <w:rPr>
      <w:b/>
    </w:rPr>
  </w:style>
  <w:style w:type="paragraph" w:customStyle="1" w:styleId="Heading20">
    <w:name w:val="Heading2"/>
    <w:basedOn w:val="Normal"/>
    <w:next w:val="Heading1"/>
    <w:uiPriority w:val="5"/>
    <w:qFormat/>
    <w:rsid w:val="00606BA4"/>
    <w:pPr>
      <w:keepNext/>
      <w:spacing w:before="240" w:line="240" w:lineRule="auto"/>
      <w:ind w:left="1440"/>
    </w:pPr>
    <w:rPr>
      <w:b/>
    </w:rPr>
  </w:style>
  <w:style w:type="paragraph" w:styleId="TOC2">
    <w:name w:val="toc 2"/>
    <w:basedOn w:val="Normal"/>
    <w:next w:val="Normal"/>
    <w:autoRedefine/>
    <w:semiHidden/>
    <w:pPr>
      <w:tabs>
        <w:tab w:val="right" w:leader="dot" w:pos="9753"/>
      </w:tabs>
      <w:spacing w:line="240" w:lineRule="auto"/>
      <w:ind w:left="360"/>
    </w:pPr>
    <w:rPr>
      <w:noProof/>
    </w:rPr>
  </w:style>
  <w:style w:type="paragraph" w:styleId="TOC3">
    <w:name w:val="toc 3"/>
    <w:basedOn w:val="Normal"/>
    <w:next w:val="Normal"/>
    <w:autoRedefine/>
    <w:semiHidden/>
    <w:pPr>
      <w:tabs>
        <w:tab w:val="right" w:leader="dot" w:pos="9753"/>
      </w:tabs>
      <w:spacing w:line="240" w:lineRule="auto"/>
      <w:ind w:left="720"/>
    </w:pPr>
    <w:rPr>
      <w:i/>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0">
    <w:name w:val="Heading3"/>
    <w:basedOn w:val="Normal"/>
    <w:next w:val="Heading1"/>
    <w:uiPriority w:val="5"/>
    <w:qFormat/>
    <w:rsid w:val="00606BA4"/>
    <w:pPr>
      <w:keepNext/>
      <w:spacing w:before="240" w:line="240" w:lineRule="auto"/>
      <w:ind w:left="1440"/>
    </w:pPr>
    <w:rPr>
      <w:b/>
      <w:i/>
    </w:rPr>
  </w:style>
  <w:style w:type="paragraph" w:styleId="FootnoteText">
    <w:name w:val="footnote text"/>
    <w:basedOn w:val="Normal"/>
    <w:semiHidden/>
    <w:pPr>
      <w:ind w:left="720" w:hanging="720"/>
    </w:pPr>
    <w:rPr>
      <w:sz w:val="20"/>
    </w:rPr>
  </w:style>
  <w:style w:type="character" w:styleId="FootnoteReference">
    <w:name w:val="footnote reference"/>
    <w:semiHidden/>
    <w:rPr>
      <w:rFonts w:ascii="Arial" w:hAnsi="Arial"/>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uiPriority w:val="5"/>
    <w:qFormat/>
    <w:rsid w:val="001C0905"/>
    <w:pPr>
      <w:tabs>
        <w:tab w:val="left" w:pos="2552"/>
      </w:tabs>
      <w:ind w:left="2552" w:hanging="567"/>
    </w:pPr>
  </w:style>
  <w:style w:type="paragraph" w:customStyle="1" w:styleId="Quote3">
    <w:name w:val="Quote3"/>
    <w:basedOn w:val="Quote2"/>
    <w:uiPriority w:val="5"/>
    <w:qFormat/>
    <w:rsid w:val="001C0905"/>
    <w:pPr>
      <w:tabs>
        <w:tab w:val="clear" w:pos="2552"/>
        <w:tab w:val="left" w:pos="3260"/>
      </w:tabs>
      <w:ind w:left="3272" w:hanging="720"/>
    </w:p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16"/>
    </w:rPr>
  </w:style>
  <w:style w:type="paragraph" w:customStyle="1" w:styleId="Quote4">
    <w:name w:val="Quote4"/>
    <w:basedOn w:val="Quote3"/>
    <w:uiPriority w:val="5"/>
    <w:qFormat/>
    <w:rsid w:val="001C0905"/>
    <w:pPr>
      <w:tabs>
        <w:tab w:val="clear" w:pos="3260"/>
        <w:tab w:val="left" w:pos="4394"/>
      </w:tabs>
      <w:ind w:left="3969" w:hanging="709"/>
    </w:pPr>
  </w:style>
  <w:style w:type="paragraph" w:customStyle="1" w:styleId="Casedate">
    <w:name w:val="Casedate"/>
    <w:basedOn w:val="Normal"/>
    <w:pPr>
      <w:spacing w:after="120"/>
      <w:jc w:val="left"/>
    </w:pPr>
    <w:rPr>
      <w:lang w:val="en-GB"/>
    </w:rPr>
  </w:style>
  <w:style w:type="paragraph" w:styleId="Caption">
    <w:name w:val="caption"/>
    <w:basedOn w:val="Normal"/>
    <w:next w:val="Normal"/>
    <w:rPr>
      <w:rFonts w:cs="Arial"/>
      <w:u w:val="single"/>
    </w:rPr>
  </w:style>
  <w:style w:type="paragraph" w:customStyle="1" w:styleId="Heading40">
    <w:name w:val="Heading4"/>
    <w:basedOn w:val="Heading30"/>
    <w:next w:val="Heading1"/>
    <w:uiPriority w:val="5"/>
    <w:qFormat/>
    <w:rPr>
      <w:b w:val="0"/>
    </w:rPr>
  </w:style>
  <w:style w:type="table" w:styleId="TableGrid">
    <w:name w:val="Table Grid"/>
    <w:basedOn w:val="TableNormal"/>
    <w:rsid w:val="00F0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IDENCE-Confession-">
    <w:name w:val="*EVIDENCE - Confession -"/>
    <w:rsid w:val="003159B9"/>
    <w:pPr>
      <w:widowControl w:val="0"/>
      <w:spacing w:line="240" w:lineRule="atLeast"/>
      <w:jc w:val="both"/>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Judges\CC-J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1AB3-86B2-4195-A875-56EA79E5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CC-Jdg</Template>
  <TotalTime>81</TotalTime>
  <Pages>13</Pages>
  <Words>4001</Words>
  <Characters>19140</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Hampel</dc:creator>
  <cp:keywords>Case No. ##-##-#####</cp:keywords>
  <dc:description/>
  <cp:lastModifiedBy>Odette Richwol</cp:lastModifiedBy>
  <cp:revision>11</cp:revision>
  <dcterms:created xsi:type="dcterms:W3CDTF">2017-11-27T21:29:00Z</dcterms:created>
  <dcterms:modified xsi:type="dcterms:W3CDTF">2018-04-12T23:46:00Z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criptType">
    <vt:lpwstr>Sentence</vt:lpwstr>
  </property>
  <property fmtid="{D5CDD505-2E9C-101B-9397-08002B2CF9AE}" pid="3" name="VRN">
    <vt:lpwstr>189639</vt:lpwstr>
  </property>
  <property fmtid="{D5CDD505-2E9C-101B-9397-08002B2CF9AE}" pid="4" name="jurisdiction">
    <vt:lpwstr>County</vt:lpwstr>
  </property>
  <property fmtid="{D5CDD505-2E9C-101B-9397-08002B2CF9AE}" pid="5" name="hearingDate">
    <vt:lpwstr>19/10/2017</vt:lpwstr>
  </property>
</Properties>
</file>