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B84D1" w14:textId="77777777" w:rsidR="0023669A" w:rsidRDefault="0023669A">
      <w:pPr>
        <w:spacing w:line="240" w:lineRule="auto"/>
        <w:rPr>
          <w:sz w:val="2"/>
        </w:rPr>
      </w:pPr>
      <w:bookmarkStart w:id="0" w:name="DELcoverPage"/>
      <w:bookmarkStart w:id="1" w:name="_GoBack"/>
      <w:bookmarkEnd w:id="1"/>
    </w:p>
    <w:tbl>
      <w:tblPr>
        <w:tblW w:w="10008" w:type="dxa"/>
        <w:tblLayout w:type="fixed"/>
        <w:tblLook w:val="0000" w:firstRow="0" w:lastRow="0" w:firstColumn="0" w:lastColumn="0" w:noHBand="0" w:noVBand="0"/>
      </w:tblPr>
      <w:tblGrid>
        <w:gridCol w:w="6804"/>
        <w:gridCol w:w="3204"/>
      </w:tblGrid>
      <w:tr w:rsidR="00094DCD" w:rsidRPr="003D5C0F" w14:paraId="39264870" w14:textId="77777777" w:rsidTr="00B35A9F">
        <w:tc>
          <w:tcPr>
            <w:tcW w:w="6804" w:type="dxa"/>
          </w:tcPr>
          <w:p w14:paraId="5803132D" w14:textId="77777777" w:rsidR="00094DCD" w:rsidRPr="003D5C0F" w:rsidRDefault="00094DCD" w:rsidP="00D60BDB">
            <w:pPr>
              <w:tabs>
                <w:tab w:val="center" w:pos="1980"/>
              </w:tabs>
              <w:rPr>
                <w:rFonts w:cs="Arial"/>
                <w:u w:val="single"/>
              </w:rPr>
            </w:pPr>
            <w:bookmarkStart w:id="2" w:name="HEADERtable" w:colFirst="0" w:colLast="0"/>
            <w:bookmarkEnd w:id="0"/>
            <w:r w:rsidRPr="003D5C0F">
              <w:rPr>
                <w:rFonts w:cs="Arial"/>
                <w:u w:val="single"/>
              </w:rPr>
              <w:t>IN THE COUNTY COURT OF VICTORIA</w:t>
            </w:r>
          </w:p>
          <w:p w14:paraId="0903899B" w14:textId="77777777" w:rsidR="00094DCD" w:rsidRPr="003D5C0F" w:rsidRDefault="00094DCD" w:rsidP="00D60BDB">
            <w:pPr>
              <w:pStyle w:val="Caption"/>
              <w:rPr>
                <w:caps/>
                <w:szCs w:val="24"/>
              </w:rPr>
            </w:pPr>
            <w:r w:rsidRPr="003D5C0F">
              <w:rPr>
                <w:caps/>
                <w:szCs w:val="24"/>
              </w:rPr>
              <w:t xml:space="preserve">AT </w:t>
            </w:r>
            <w:bookmarkStart w:id="3" w:name="WhereHeld1"/>
            <w:bookmarkEnd w:id="3"/>
            <w:r w:rsidRPr="003D5C0F">
              <w:rPr>
                <w:caps/>
                <w:szCs w:val="24"/>
              </w:rPr>
              <w:t>Melbourne</w:t>
            </w:r>
          </w:p>
          <w:p w14:paraId="67C2B422" w14:textId="77777777" w:rsidR="00094DCD" w:rsidRPr="003D5C0F" w:rsidRDefault="00094DCD" w:rsidP="00D60BDB">
            <w:pPr>
              <w:rPr>
                <w:rFonts w:cs="Arial"/>
                <w:caps/>
                <w:u w:val="single"/>
              </w:rPr>
            </w:pPr>
            <w:bookmarkStart w:id="4" w:name="Division"/>
            <w:bookmarkStart w:id="5" w:name="DELdivision"/>
            <w:bookmarkEnd w:id="4"/>
            <w:r w:rsidRPr="003D5C0F">
              <w:rPr>
                <w:rFonts w:cs="Arial"/>
                <w:caps/>
                <w:u w:val="single"/>
              </w:rPr>
              <w:t>COMMON LAW DIVISION</w:t>
            </w:r>
            <w:bookmarkEnd w:id="5"/>
          </w:p>
        </w:tc>
        <w:tc>
          <w:tcPr>
            <w:tcW w:w="3204" w:type="dxa"/>
            <w:tcBorders>
              <w:top w:val="single" w:sz="4" w:space="0" w:color="auto"/>
              <w:left w:val="single" w:sz="4" w:space="0" w:color="auto"/>
              <w:bottom w:val="single" w:sz="4" w:space="0" w:color="auto"/>
              <w:right w:val="single" w:sz="4" w:space="0" w:color="auto"/>
            </w:tcBorders>
          </w:tcPr>
          <w:p w14:paraId="7BB0652C" w14:textId="46D0CFFC" w:rsidR="00094DCD" w:rsidRPr="00B35A9F" w:rsidRDefault="00B35A9F" w:rsidP="00B35A9F">
            <w:pPr>
              <w:jc w:val="right"/>
              <w:rPr>
                <w:noProof/>
                <w:lang w:eastAsia="en-AU"/>
              </w:rPr>
            </w:pPr>
            <w:r>
              <w:rPr>
                <w:rFonts w:cs="Arial"/>
                <w:sz w:val="22"/>
                <w:szCs w:val="22"/>
              </w:rPr>
              <w:t>ANONYMISED AND ADAPTED FOR EDUCATIONAL PURPOSES</w:t>
            </w:r>
            <w:r>
              <w:rPr>
                <w:noProof/>
                <w:lang w:eastAsia="en-AU"/>
              </w:rPr>
              <w:t xml:space="preserve"> </w:t>
            </w:r>
          </w:p>
        </w:tc>
      </w:tr>
      <w:tr w:rsidR="0001764F" w:rsidRPr="003D5C0F" w14:paraId="0DD9A3C2" w14:textId="77777777" w:rsidTr="00B35A9F">
        <w:tc>
          <w:tcPr>
            <w:tcW w:w="6804" w:type="dxa"/>
          </w:tcPr>
          <w:p w14:paraId="12BBC5C5" w14:textId="1CC46F2A" w:rsidR="0001764F" w:rsidRPr="003D5C0F" w:rsidRDefault="0001764F" w:rsidP="00BF7EA3">
            <w:pPr>
              <w:rPr>
                <w:rFonts w:cs="Arial"/>
                <w:u w:val="single"/>
              </w:rPr>
            </w:pPr>
            <w:r w:rsidRPr="003D5C0F">
              <w:rPr>
                <w:rFonts w:cs="Arial"/>
                <w:caps/>
                <w:u w:val="single"/>
              </w:rPr>
              <w:t>Confiscation List</w:t>
            </w:r>
          </w:p>
        </w:tc>
        <w:tc>
          <w:tcPr>
            <w:tcW w:w="3204" w:type="dxa"/>
            <w:tcBorders>
              <w:top w:val="single" w:sz="4" w:space="0" w:color="auto"/>
            </w:tcBorders>
          </w:tcPr>
          <w:p w14:paraId="489EC433" w14:textId="77777777" w:rsidR="0001764F" w:rsidRPr="003D5C0F" w:rsidRDefault="0001764F" w:rsidP="00D60BDB">
            <w:pPr>
              <w:ind w:right="-18"/>
              <w:jc w:val="right"/>
              <w:rPr>
                <w:rFonts w:cs="Arial"/>
                <w:sz w:val="22"/>
                <w:szCs w:val="22"/>
              </w:rPr>
            </w:pPr>
          </w:p>
        </w:tc>
      </w:tr>
    </w:tbl>
    <w:p w14:paraId="105DBE9C" w14:textId="77777777" w:rsidR="0001764F" w:rsidRDefault="0001764F" w:rsidP="00094DCD">
      <w:pPr>
        <w:spacing w:line="240" w:lineRule="auto"/>
        <w:jc w:val="right"/>
        <w:rPr>
          <w:rFonts w:cs="Arial"/>
          <w:caps/>
          <w:u w:val="single"/>
        </w:rPr>
      </w:pPr>
      <w:bookmarkStart w:id="6" w:name="SubDivision"/>
      <w:bookmarkStart w:id="7" w:name="DELsubDivision"/>
      <w:bookmarkEnd w:id="6"/>
    </w:p>
    <w:bookmarkEnd w:id="2"/>
    <w:bookmarkEnd w:id="7"/>
    <w:p w14:paraId="34FF3087" w14:textId="0CE20392" w:rsidR="00094DCD" w:rsidRPr="003D5C0F" w:rsidRDefault="00094DCD" w:rsidP="00094DCD">
      <w:pPr>
        <w:spacing w:line="240" w:lineRule="auto"/>
        <w:jc w:val="right"/>
        <w:rPr>
          <w:rFonts w:cs="Arial"/>
        </w:rPr>
      </w:pPr>
      <w:r w:rsidRPr="003D5C0F">
        <w:rPr>
          <w:rFonts w:cs="Arial"/>
        </w:rPr>
        <w:t xml:space="preserve">Case No. </w:t>
      </w:r>
      <w:bookmarkStart w:id="8" w:name="CaseNo"/>
      <w:bookmarkEnd w:id="8"/>
      <w:r w:rsidR="00221D7C">
        <w:rPr>
          <w:rFonts w:cs="Arial"/>
        </w:rPr>
        <w:t>CI-15-00123</w:t>
      </w:r>
      <w:r w:rsidRPr="003D5C0F">
        <w:rPr>
          <w:rFonts w:cs="Arial"/>
        </w:rPr>
        <w:fldChar w:fldCharType="begin"/>
      </w:r>
      <w:r w:rsidRPr="003D5C0F">
        <w:rPr>
          <w:rFonts w:cs="Arial"/>
        </w:rPr>
        <w:instrText xml:space="preserve">  </w:instrText>
      </w:r>
      <w:r w:rsidRPr="003D5C0F">
        <w:rPr>
          <w:rFonts w:cs="Arial"/>
        </w:rPr>
        <w:fldChar w:fldCharType="end"/>
      </w:r>
    </w:p>
    <w:p w14:paraId="2F0C4566" w14:textId="77777777" w:rsidR="00094DCD" w:rsidRPr="003D5C0F" w:rsidRDefault="00094DCD" w:rsidP="00094DCD">
      <w:pPr>
        <w:spacing w:line="240" w:lineRule="auto"/>
        <w:rPr>
          <w:rFonts w:cs="Arial"/>
          <w:szCs w:val="24"/>
        </w:rPr>
      </w:pPr>
      <w:r w:rsidRPr="003D5C0F">
        <w:rPr>
          <w:rFonts w:cs="Arial"/>
          <w:szCs w:val="24"/>
        </w:rPr>
        <w:t xml:space="preserve">IN THE MATTER of the </w:t>
      </w:r>
      <w:r w:rsidRPr="003D5C0F">
        <w:rPr>
          <w:rFonts w:cs="Arial"/>
          <w:i/>
          <w:szCs w:val="24"/>
        </w:rPr>
        <w:t xml:space="preserve">Confiscation Act </w:t>
      </w:r>
      <w:r w:rsidRPr="003D5C0F">
        <w:rPr>
          <w:rFonts w:cs="Arial"/>
          <w:szCs w:val="24"/>
        </w:rPr>
        <w:t>1997 (Vic)</w:t>
      </w:r>
    </w:p>
    <w:p w14:paraId="04CF30C0" w14:textId="77777777" w:rsidR="00094DCD" w:rsidRPr="003D5C0F" w:rsidRDefault="00094DCD" w:rsidP="00094DCD">
      <w:pPr>
        <w:spacing w:line="240" w:lineRule="auto"/>
        <w:rPr>
          <w:rFonts w:cs="Arial"/>
          <w:sz w:val="20"/>
        </w:rPr>
      </w:pPr>
    </w:p>
    <w:p w14:paraId="1B8DEF4C" w14:textId="77777777" w:rsidR="00094DCD" w:rsidRPr="003D5C0F" w:rsidRDefault="00094DCD" w:rsidP="00094DCD">
      <w:pPr>
        <w:spacing w:line="240" w:lineRule="auto"/>
        <w:rPr>
          <w:rFonts w:cs="Arial"/>
          <w:szCs w:val="24"/>
        </w:rPr>
      </w:pPr>
      <w:r w:rsidRPr="003D5C0F">
        <w:rPr>
          <w:rFonts w:cs="Arial"/>
          <w:szCs w:val="24"/>
        </w:rPr>
        <w:t>-and-</w:t>
      </w:r>
    </w:p>
    <w:p w14:paraId="2F21FD45" w14:textId="77777777" w:rsidR="00094DCD" w:rsidRPr="003D5C0F" w:rsidRDefault="00094DCD" w:rsidP="00094DCD">
      <w:pPr>
        <w:spacing w:line="240" w:lineRule="auto"/>
        <w:rPr>
          <w:rFonts w:cs="Arial"/>
          <w:sz w:val="20"/>
        </w:rPr>
      </w:pPr>
    </w:p>
    <w:p w14:paraId="45FDFE8E" w14:textId="77777777" w:rsidR="00094DCD" w:rsidRPr="003D5C0F" w:rsidRDefault="00094DCD" w:rsidP="00094DCD">
      <w:pPr>
        <w:spacing w:line="240" w:lineRule="auto"/>
        <w:rPr>
          <w:rFonts w:cs="Arial"/>
          <w:szCs w:val="24"/>
        </w:rPr>
      </w:pPr>
      <w:r w:rsidRPr="003D5C0F">
        <w:rPr>
          <w:rFonts w:cs="Arial"/>
          <w:szCs w:val="24"/>
        </w:rPr>
        <w:t>IN THE MATTER of property which a member of the police force suspects on reasonable grounds to be tainted in relation to a Schedule 2 offence</w:t>
      </w:r>
    </w:p>
    <w:p w14:paraId="3C1B7A28" w14:textId="77777777" w:rsidR="00094DCD" w:rsidRPr="003D5C0F" w:rsidRDefault="00094DCD" w:rsidP="00094DCD">
      <w:pPr>
        <w:spacing w:line="240" w:lineRule="auto"/>
        <w:rPr>
          <w:rFonts w:cs="Arial"/>
          <w:sz w:val="20"/>
        </w:rPr>
      </w:pPr>
    </w:p>
    <w:p w14:paraId="052A31F1" w14:textId="77777777" w:rsidR="00094DCD" w:rsidRPr="003D5C0F" w:rsidRDefault="00094DCD" w:rsidP="00094DCD">
      <w:pPr>
        <w:spacing w:line="240" w:lineRule="auto"/>
        <w:rPr>
          <w:rFonts w:cs="Arial"/>
          <w:szCs w:val="24"/>
        </w:rPr>
      </w:pPr>
      <w:r w:rsidRPr="003D5C0F">
        <w:rPr>
          <w:rFonts w:cs="Arial"/>
          <w:szCs w:val="24"/>
        </w:rPr>
        <w:t>-and-</w:t>
      </w:r>
    </w:p>
    <w:p w14:paraId="3ECAA31F" w14:textId="77777777" w:rsidR="00094DCD" w:rsidRPr="003D5C0F" w:rsidRDefault="00094DCD" w:rsidP="00094DCD">
      <w:pPr>
        <w:spacing w:line="240" w:lineRule="auto"/>
        <w:rPr>
          <w:rFonts w:cs="Arial"/>
          <w:sz w:val="20"/>
        </w:rPr>
      </w:pPr>
    </w:p>
    <w:p w14:paraId="7EE0BB6B" w14:textId="77777777" w:rsidR="00094DCD" w:rsidRPr="003D5C0F" w:rsidRDefault="00094DCD" w:rsidP="00094DCD">
      <w:pPr>
        <w:spacing w:line="240" w:lineRule="auto"/>
        <w:rPr>
          <w:rFonts w:cs="Arial"/>
          <w:szCs w:val="24"/>
        </w:rPr>
      </w:pPr>
      <w:r w:rsidRPr="003D5C0F">
        <w:rPr>
          <w:rFonts w:cs="Arial"/>
          <w:szCs w:val="24"/>
        </w:rPr>
        <w:t>IN THE MATTER of an application by the DIRECTOR OF PUBLIC PROSECUTIONS for Victoria</w:t>
      </w:r>
    </w:p>
    <w:p w14:paraId="0E82EBF0" w14:textId="77777777" w:rsidR="00094DCD" w:rsidRPr="003D5C0F" w:rsidRDefault="00094DCD" w:rsidP="00094DCD">
      <w:pPr>
        <w:pStyle w:val="Normal-Cover"/>
        <w:rPr>
          <w:rFonts w:cs="Arial"/>
          <w:sz w:val="20"/>
        </w:rPr>
      </w:pPr>
    </w:p>
    <w:p w14:paraId="4FA21799" w14:textId="77777777" w:rsidR="00094DCD" w:rsidRPr="003D5C0F" w:rsidRDefault="00094DCD" w:rsidP="00094DCD">
      <w:pPr>
        <w:pStyle w:val="Normal-Cover"/>
        <w:rPr>
          <w:rFonts w:cs="Arial"/>
          <w:szCs w:val="24"/>
        </w:rPr>
      </w:pPr>
      <w:r w:rsidRPr="003D5C0F">
        <w:rPr>
          <w:rFonts w:cs="Arial"/>
          <w:szCs w:val="24"/>
        </w:rPr>
        <w:t>BETWEEN</w:t>
      </w:r>
    </w:p>
    <w:p w14:paraId="18703861" w14:textId="77777777" w:rsidR="00094DCD" w:rsidRPr="003D5C0F" w:rsidRDefault="00094DCD" w:rsidP="00094DCD">
      <w:pPr>
        <w:pStyle w:val="Normal-Cover"/>
        <w:rPr>
          <w:rFonts w:cs="Arial"/>
          <w:sz w:val="20"/>
        </w:rPr>
      </w:pPr>
    </w:p>
    <w:tbl>
      <w:tblPr>
        <w:tblW w:w="10008" w:type="dxa"/>
        <w:tblLayout w:type="fixed"/>
        <w:tblLook w:val="0000" w:firstRow="0" w:lastRow="0" w:firstColumn="0" w:lastColumn="0" w:noHBand="0" w:noVBand="0"/>
      </w:tblPr>
      <w:tblGrid>
        <w:gridCol w:w="8330"/>
        <w:gridCol w:w="1678"/>
      </w:tblGrid>
      <w:tr w:rsidR="00094DCD" w:rsidRPr="003D5C0F" w14:paraId="209E131F" w14:textId="77777777" w:rsidTr="00D60BDB">
        <w:trPr>
          <w:cantSplit/>
        </w:trPr>
        <w:tc>
          <w:tcPr>
            <w:tcW w:w="8330" w:type="dxa"/>
            <w:vAlign w:val="bottom"/>
          </w:tcPr>
          <w:p w14:paraId="242F9504" w14:textId="527ADB89" w:rsidR="00094DCD" w:rsidRPr="003D5C0F" w:rsidRDefault="004837C3" w:rsidP="00D60BDB">
            <w:pPr>
              <w:pStyle w:val="Normal-Cover"/>
              <w:rPr>
                <w:rFonts w:cs="Arial"/>
              </w:rPr>
            </w:pPr>
            <w:r>
              <w:rPr>
                <w:rFonts w:cs="Arial"/>
              </w:rPr>
              <w:t>PETER ADAMS</w:t>
            </w:r>
            <w:r w:rsidR="00717886">
              <w:rPr>
                <w:rFonts w:cs="Arial"/>
              </w:rPr>
              <w:t xml:space="preserve"> (a pseudonym)</w:t>
            </w:r>
            <w:r w:rsidR="00943A7E">
              <w:rPr>
                <w:rStyle w:val="FootnoteReference"/>
                <w:rFonts w:cs="Arial"/>
              </w:rPr>
              <w:footnoteReference w:id="1"/>
            </w:r>
            <w:r w:rsidR="00094DCD" w:rsidRPr="003D5C0F">
              <w:rPr>
                <w:rFonts w:cs="Arial"/>
              </w:rPr>
              <w:fldChar w:fldCharType="begin"/>
            </w:r>
            <w:r w:rsidR="00094DCD" w:rsidRPr="003D5C0F">
              <w:rPr>
                <w:rFonts w:cs="Arial"/>
              </w:rPr>
              <w:instrText xml:space="preserve">  </w:instrText>
            </w:r>
            <w:r w:rsidR="00094DCD" w:rsidRPr="003D5C0F">
              <w:rPr>
                <w:rFonts w:cs="Arial"/>
              </w:rPr>
              <w:fldChar w:fldCharType="end"/>
            </w:r>
          </w:p>
        </w:tc>
        <w:tc>
          <w:tcPr>
            <w:tcW w:w="1678" w:type="dxa"/>
          </w:tcPr>
          <w:p w14:paraId="507481A2" w14:textId="77777777" w:rsidR="00094DCD" w:rsidRPr="003D5C0F" w:rsidRDefault="00094DCD" w:rsidP="00D60BDB">
            <w:pPr>
              <w:pStyle w:val="Normal-Cover"/>
              <w:jc w:val="right"/>
              <w:rPr>
                <w:rFonts w:cs="Arial"/>
              </w:rPr>
            </w:pPr>
            <w:r w:rsidRPr="003D5C0F">
              <w:rPr>
                <w:rFonts w:cs="Arial"/>
              </w:rPr>
              <w:t>Applicant</w:t>
            </w:r>
          </w:p>
        </w:tc>
      </w:tr>
      <w:tr w:rsidR="00094DCD" w:rsidRPr="003D5C0F" w14:paraId="7B9A121F" w14:textId="77777777" w:rsidTr="00D60BDB">
        <w:tc>
          <w:tcPr>
            <w:tcW w:w="8330" w:type="dxa"/>
          </w:tcPr>
          <w:p w14:paraId="6B505BFC" w14:textId="77777777" w:rsidR="00094DCD" w:rsidRPr="003D5C0F" w:rsidRDefault="00094DCD" w:rsidP="00D60BDB">
            <w:pPr>
              <w:pStyle w:val="Normal-Cover"/>
              <w:rPr>
                <w:rFonts w:cs="Arial"/>
                <w:sz w:val="20"/>
              </w:rPr>
            </w:pPr>
          </w:p>
        </w:tc>
        <w:tc>
          <w:tcPr>
            <w:tcW w:w="1678" w:type="dxa"/>
          </w:tcPr>
          <w:p w14:paraId="04E5B695" w14:textId="77777777" w:rsidR="00094DCD" w:rsidRPr="003D5C0F" w:rsidRDefault="00094DCD" w:rsidP="00D60BDB">
            <w:pPr>
              <w:pStyle w:val="Normal-Cover"/>
              <w:jc w:val="right"/>
              <w:rPr>
                <w:rFonts w:cs="Arial"/>
              </w:rPr>
            </w:pPr>
          </w:p>
        </w:tc>
      </w:tr>
      <w:tr w:rsidR="00094DCD" w:rsidRPr="003D5C0F" w14:paraId="16D65AA7" w14:textId="77777777" w:rsidTr="00D60BDB">
        <w:tc>
          <w:tcPr>
            <w:tcW w:w="8330" w:type="dxa"/>
          </w:tcPr>
          <w:p w14:paraId="60B61E9A" w14:textId="77777777" w:rsidR="00094DCD" w:rsidRPr="003D5C0F" w:rsidRDefault="00094DCD" w:rsidP="00D60BDB">
            <w:pPr>
              <w:pStyle w:val="Normal-Cover"/>
              <w:rPr>
                <w:rFonts w:cs="Arial"/>
              </w:rPr>
            </w:pPr>
            <w:r w:rsidRPr="003D5C0F">
              <w:rPr>
                <w:rFonts w:cs="Arial"/>
              </w:rPr>
              <w:t>v</w:t>
            </w:r>
          </w:p>
        </w:tc>
        <w:tc>
          <w:tcPr>
            <w:tcW w:w="1678" w:type="dxa"/>
          </w:tcPr>
          <w:p w14:paraId="45C0F727" w14:textId="77777777" w:rsidR="00094DCD" w:rsidRPr="003D5C0F" w:rsidRDefault="00094DCD" w:rsidP="00D60BDB">
            <w:pPr>
              <w:pStyle w:val="Normal-Cover"/>
              <w:jc w:val="right"/>
              <w:rPr>
                <w:rFonts w:cs="Arial"/>
              </w:rPr>
            </w:pPr>
          </w:p>
        </w:tc>
      </w:tr>
      <w:tr w:rsidR="00094DCD" w:rsidRPr="003D5C0F" w14:paraId="16242AF7" w14:textId="77777777" w:rsidTr="00D60BDB">
        <w:tc>
          <w:tcPr>
            <w:tcW w:w="8330" w:type="dxa"/>
          </w:tcPr>
          <w:p w14:paraId="38607716" w14:textId="77777777" w:rsidR="00094DCD" w:rsidRPr="003D5C0F" w:rsidRDefault="00094DCD" w:rsidP="00D60BDB">
            <w:pPr>
              <w:pStyle w:val="Normal-Cover"/>
              <w:rPr>
                <w:rFonts w:cs="Arial"/>
                <w:sz w:val="20"/>
              </w:rPr>
            </w:pPr>
          </w:p>
        </w:tc>
        <w:tc>
          <w:tcPr>
            <w:tcW w:w="1678" w:type="dxa"/>
          </w:tcPr>
          <w:p w14:paraId="67C5463B" w14:textId="77777777" w:rsidR="00094DCD" w:rsidRPr="003D5C0F" w:rsidRDefault="00094DCD" w:rsidP="00D60BDB">
            <w:pPr>
              <w:pStyle w:val="Normal-Cover"/>
              <w:jc w:val="right"/>
              <w:rPr>
                <w:rFonts w:cs="Arial"/>
              </w:rPr>
            </w:pPr>
          </w:p>
        </w:tc>
      </w:tr>
      <w:tr w:rsidR="00094DCD" w:rsidRPr="003D5C0F" w14:paraId="0E83679A" w14:textId="77777777" w:rsidTr="00D60BDB">
        <w:trPr>
          <w:cantSplit/>
        </w:trPr>
        <w:tc>
          <w:tcPr>
            <w:tcW w:w="8330" w:type="dxa"/>
          </w:tcPr>
          <w:p w14:paraId="0490FDEE" w14:textId="77777777" w:rsidR="00094DCD" w:rsidRPr="003D5C0F" w:rsidRDefault="00094DCD" w:rsidP="00D60BDB">
            <w:pPr>
              <w:pStyle w:val="Normal-Cover"/>
              <w:rPr>
                <w:rFonts w:cs="Arial"/>
              </w:rPr>
            </w:pPr>
            <w:r w:rsidRPr="003D5C0F">
              <w:rPr>
                <w:rFonts w:cs="Arial"/>
              </w:rPr>
              <w:t>DIRECTOR OF PUBLIC PROSECUTIONS</w:t>
            </w:r>
            <w:r w:rsidRPr="003D5C0F">
              <w:rPr>
                <w:rFonts w:cs="Arial"/>
              </w:rPr>
              <w:fldChar w:fldCharType="begin"/>
            </w:r>
            <w:r w:rsidRPr="003D5C0F">
              <w:rPr>
                <w:rFonts w:cs="Arial"/>
              </w:rPr>
              <w:instrText xml:space="preserve">  </w:instrText>
            </w:r>
            <w:r w:rsidRPr="003D5C0F">
              <w:rPr>
                <w:rFonts w:cs="Arial"/>
              </w:rPr>
              <w:fldChar w:fldCharType="end"/>
            </w:r>
          </w:p>
        </w:tc>
        <w:tc>
          <w:tcPr>
            <w:tcW w:w="1678" w:type="dxa"/>
          </w:tcPr>
          <w:p w14:paraId="496A4FC7" w14:textId="77777777" w:rsidR="00094DCD" w:rsidRPr="003D5C0F" w:rsidRDefault="00094DCD" w:rsidP="00D60BDB">
            <w:pPr>
              <w:pStyle w:val="Normal-Cover"/>
              <w:jc w:val="right"/>
              <w:rPr>
                <w:rFonts w:cs="Arial"/>
              </w:rPr>
            </w:pPr>
            <w:r w:rsidRPr="003D5C0F">
              <w:rPr>
                <w:rFonts w:cs="Arial"/>
              </w:rPr>
              <w:t>Respondent</w:t>
            </w:r>
          </w:p>
        </w:tc>
      </w:tr>
    </w:tbl>
    <w:p w14:paraId="09A91638" w14:textId="5948BE9A" w:rsidR="00094DCD" w:rsidRPr="003D5C0F" w:rsidRDefault="00094DCD" w:rsidP="00094DCD">
      <w:pPr>
        <w:jc w:val="left"/>
        <w:rPr>
          <w:rFonts w:cs="Arial"/>
        </w:rPr>
      </w:pPr>
      <w:bookmarkStart w:id="9" w:name="COVplaintiff"/>
      <w:bookmarkEnd w:id="9"/>
    </w:p>
    <w:p w14:paraId="36C60E2D" w14:textId="77777777" w:rsidR="00094DCD" w:rsidRPr="003D5C0F" w:rsidRDefault="00094DCD" w:rsidP="00094DCD">
      <w:pPr>
        <w:jc w:val="center"/>
        <w:rPr>
          <w:rFonts w:cs="Arial"/>
        </w:rPr>
      </w:pPr>
      <w:r w:rsidRPr="003D5C0F">
        <w:rPr>
          <w:rFonts w:cs="Arial"/>
        </w:rPr>
        <w:t>---</w:t>
      </w:r>
    </w:p>
    <w:p w14:paraId="671AB826" w14:textId="56C5088A" w:rsidR="00094DCD" w:rsidRPr="003D5C0F" w:rsidRDefault="00094DCD" w:rsidP="00094DCD">
      <w:pPr>
        <w:rPr>
          <w:rFonts w:cs="Arial"/>
        </w:rPr>
      </w:pPr>
    </w:p>
    <w:tbl>
      <w:tblPr>
        <w:tblW w:w="10008" w:type="dxa"/>
        <w:tblLayout w:type="fixed"/>
        <w:tblLook w:val="0000" w:firstRow="0" w:lastRow="0" w:firstColumn="0" w:lastColumn="0" w:noHBand="0" w:noVBand="0"/>
      </w:tblPr>
      <w:tblGrid>
        <w:gridCol w:w="3652"/>
        <w:gridCol w:w="3026"/>
        <w:gridCol w:w="3330"/>
      </w:tblGrid>
      <w:tr w:rsidR="00094DCD" w:rsidRPr="003D5C0F" w14:paraId="39FDCD82" w14:textId="77777777" w:rsidTr="00D60BDB">
        <w:tc>
          <w:tcPr>
            <w:tcW w:w="3652" w:type="dxa"/>
          </w:tcPr>
          <w:p w14:paraId="071787EA" w14:textId="77777777" w:rsidR="00094DCD" w:rsidRPr="003D5C0F" w:rsidRDefault="00094DCD" w:rsidP="00D60BDB">
            <w:pPr>
              <w:spacing w:after="120"/>
              <w:jc w:val="left"/>
              <w:rPr>
                <w:rFonts w:cs="Arial"/>
                <w:caps/>
                <w:sz w:val="22"/>
                <w:szCs w:val="22"/>
              </w:rPr>
            </w:pPr>
            <w:r w:rsidRPr="003D5C0F">
              <w:rPr>
                <w:rFonts w:cs="Arial"/>
                <w:caps/>
                <w:sz w:val="22"/>
                <w:szCs w:val="22"/>
                <w:u w:val="single"/>
              </w:rPr>
              <w:t>JUDGE</w:t>
            </w:r>
            <w:r w:rsidRPr="003D5C0F">
              <w:rPr>
                <w:rFonts w:cs="Arial"/>
                <w:caps/>
                <w:sz w:val="22"/>
                <w:szCs w:val="22"/>
              </w:rPr>
              <w:t>:</w:t>
            </w:r>
          </w:p>
        </w:tc>
        <w:tc>
          <w:tcPr>
            <w:tcW w:w="6356" w:type="dxa"/>
            <w:gridSpan w:val="2"/>
          </w:tcPr>
          <w:p w14:paraId="2CC5C405" w14:textId="77777777" w:rsidR="00094DCD" w:rsidRPr="003D5C0F" w:rsidRDefault="00094DCD" w:rsidP="00D60BDB">
            <w:pPr>
              <w:spacing w:after="120"/>
              <w:rPr>
                <w:rFonts w:cs="Arial"/>
              </w:rPr>
            </w:pPr>
            <w:bookmarkStart w:id="10" w:name="COVjud"/>
            <w:bookmarkEnd w:id="10"/>
            <w:r w:rsidRPr="003D5C0F">
              <w:rPr>
                <w:rFonts w:cs="Arial"/>
              </w:rPr>
              <w:t xml:space="preserve">HIS HONOUR JUDGE MISSO </w:t>
            </w:r>
          </w:p>
        </w:tc>
      </w:tr>
      <w:tr w:rsidR="00094DCD" w:rsidRPr="003D5C0F" w14:paraId="1BACDF7A" w14:textId="77777777" w:rsidTr="00D60BDB">
        <w:tc>
          <w:tcPr>
            <w:tcW w:w="3652" w:type="dxa"/>
          </w:tcPr>
          <w:p w14:paraId="58C1B7F6" w14:textId="77777777" w:rsidR="00094DCD" w:rsidRPr="003D5C0F" w:rsidRDefault="00094DCD" w:rsidP="00D60BDB">
            <w:pPr>
              <w:spacing w:after="120"/>
              <w:jc w:val="left"/>
              <w:rPr>
                <w:rFonts w:cs="Arial"/>
                <w:sz w:val="22"/>
                <w:szCs w:val="22"/>
              </w:rPr>
            </w:pPr>
            <w:r w:rsidRPr="003D5C0F">
              <w:rPr>
                <w:rFonts w:cs="Arial"/>
                <w:sz w:val="22"/>
                <w:szCs w:val="22"/>
                <w:u w:val="single"/>
              </w:rPr>
              <w:t>WHERE HELD</w:t>
            </w:r>
            <w:r w:rsidRPr="003D5C0F">
              <w:rPr>
                <w:rFonts w:cs="Arial"/>
                <w:sz w:val="22"/>
                <w:szCs w:val="22"/>
              </w:rPr>
              <w:t>:</w:t>
            </w:r>
          </w:p>
        </w:tc>
        <w:tc>
          <w:tcPr>
            <w:tcW w:w="6356" w:type="dxa"/>
            <w:gridSpan w:val="2"/>
          </w:tcPr>
          <w:p w14:paraId="1ABB3A00" w14:textId="77777777" w:rsidR="00094DCD" w:rsidRPr="003D5C0F" w:rsidRDefault="00094DCD" w:rsidP="00D60BDB">
            <w:pPr>
              <w:spacing w:after="120"/>
              <w:rPr>
                <w:rFonts w:cs="Arial"/>
              </w:rPr>
            </w:pPr>
            <w:bookmarkStart w:id="11" w:name="WhereHeld"/>
            <w:bookmarkEnd w:id="11"/>
            <w:r w:rsidRPr="003D5C0F">
              <w:rPr>
                <w:rFonts w:cs="Arial"/>
              </w:rPr>
              <w:t>Melbourne</w:t>
            </w:r>
          </w:p>
        </w:tc>
      </w:tr>
      <w:tr w:rsidR="00094DCD" w:rsidRPr="003D5C0F" w14:paraId="4ED31D58" w14:textId="77777777" w:rsidTr="00D60BDB">
        <w:tc>
          <w:tcPr>
            <w:tcW w:w="3652" w:type="dxa"/>
          </w:tcPr>
          <w:p w14:paraId="52061E1E" w14:textId="77777777" w:rsidR="00094DCD" w:rsidRPr="003D5C0F" w:rsidRDefault="00094DCD" w:rsidP="00D60BDB">
            <w:pPr>
              <w:spacing w:after="120"/>
              <w:jc w:val="left"/>
              <w:rPr>
                <w:rFonts w:cs="Arial"/>
                <w:sz w:val="22"/>
                <w:szCs w:val="22"/>
              </w:rPr>
            </w:pPr>
            <w:r w:rsidRPr="003D5C0F">
              <w:rPr>
                <w:rFonts w:cs="Arial"/>
                <w:sz w:val="22"/>
                <w:szCs w:val="22"/>
                <w:u w:val="single"/>
              </w:rPr>
              <w:t>DATE OF HEARING</w:t>
            </w:r>
            <w:r w:rsidRPr="003D5C0F">
              <w:rPr>
                <w:rFonts w:cs="Arial"/>
                <w:sz w:val="22"/>
                <w:szCs w:val="22"/>
              </w:rPr>
              <w:t>:</w:t>
            </w:r>
          </w:p>
        </w:tc>
        <w:tc>
          <w:tcPr>
            <w:tcW w:w="6356" w:type="dxa"/>
            <w:gridSpan w:val="2"/>
          </w:tcPr>
          <w:p w14:paraId="4FBE33B9" w14:textId="5ABEAFC6" w:rsidR="00094DCD" w:rsidRPr="003D5C0F" w:rsidRDefault="00A4360A" w:rsidP="00D60BDB">
            <w:pPr>
              <w:rPr>
                <w:rFonts w:cs="Arial"/>
              </w:rPr>
            </w:pPr>
            <w:bookmarkStart w:id="12" w:name="COVdoh"/>
            <w:bookmarkEnd w:id="12"/>
            <w:r w:rsidRPr="003D5C0F">
              <w:rPr>
                <w:rFonts w:cs="Arial"/>
              </w:rPr>
              <w:t>19 October 2017</w:t>
            </w:r>
            <w:r w:rsidR="00094DCD" w:rsidRPr="003D5C0F">
              <w:rPr>
                <w:rFonts w:cs="Arial"/>
              </w:rPr>
              <w:fldChar w:fldCharType="begin"/>
            </w:r>
            <w:r w:rsidR="00094DCD" w:rsidRPr="003D5C0F">
              <w:rPr>
                <w:rFonts w:cs="Arial"/>
              </w:rPr>
              <w:instrText xml:space="preserve">  </w:instrText>
            </w:r>
            <w:r w:rsidR="00094DCD" w:rsidRPr="003D5C0F">
              <w:rPr>
                <w:rFonts w:cs="Arial"/>
              </w:rPr>
              <w:fldChar w:fldCharType="end"/>
            </w:r>
          </w:p>
        </w:tc>
      </w:tr>
      <w:tr w:rsidR="00094DCD" w:rsidRPr="003D5C0F" w14:paraId="65A7E6C1" w14:textId="77777777" w:rsidTr="00D60BDB">
        <w:tc>
          <w:tcPr>
            <w:tcW w:w="3652" w:type="dxa"/>
          </w:tcPr>
          <w:p w14:paraId="14198A58" w14:textId="7B4D5DF0" w:rsidR="00094DCD" w:rsidRPr="003D5C0F" w:rsidRDefault="00094DCD" w:rsidP="007B6CFE">
            <w:pPr>
              <w:spacing w:after="120"/>
              <w:jc w:val="left"/>
              <w:rPr>
                <w:rFonts w:cs="Arial"/>
                <w:sz w:val="22"/>
                <w:szCs w:val="22"/>
                <w:u w:val="single"/>
              </w:rPr>
            </w:pPr>
            <w:r w:rsidRPr="003D5C0F">
              <w:rPr>
                <w:rFonts w:cs="Arial"/>
                <w:sz w:val="22"/>
                <w:szCs w:val="22"/>
                <w:u w:val="single"/>
              </w:rPr>
              <w:t xml:space="preserve">DATE OF </w:t>
            </w:r>
            <w:bookmarkStart w:id="13" w:name="DELj1"/>
            <w:r w:rsidR="007B6CFE">
              <w:rPr>
                <w:rFonts w:cs="Arial"/>
                <w:sz w:val="22"/>
                <w:szCs w:val="22"/>
                <w:u w:val="single"/>
              </w:rPr>
              <w:t>RULING</w:t>
            </w:r>
            <w:bookmarkEnd w:id="13"/>
            <w:r w:rsidRPr="003D5C0F">
              <w:rPr>
                <w:rFonts w:cs="Arial"/>
                <w:sz w:val="22"/>
                <w:szCs w:val="22"/>
              </w:rPr>
              <w:t>:</w:t>
            </w:r>
          </w:p>
        </w:tc>
        <w:tc>
          <w:tcPr>
            <w:tcW w:w="6356" w:type="dxa"/>
            <w:gridSpan w:val="2"/>
          </w:tcPr>
          <w:p w14:paraId="32DD0F7C" w14:textId="724BD4B7" w:rsidR="00094DCD" w:rsidRPr="003D5C0F" w:rsidRDefault="001D1917" w:rsidP="00D60BDB">
            <w:pPr>
              <w:spacing w:after="120"/>
              <w:rPr>
                <w:rFonts w:cs="Arial"/>
              </w:rPr>
            </w:pPr>
            <w:bookmarkStart w:id="14" w:name="COVdoj"/>
            <w:bookmarkEnd w:id="14"/>
            <w:r>
              <w:rPr>
                <w:rFonts w:cs="Arial"/>
              </w:rPr>
              <w:t>22 November 2017</w:t>
            </w:r>
            <w:r w:rsidR="00094DCD" w:rsidRPr="003D5C0F">
              <w:rPr>
                <w:rFonts w:cs="Arial"/>
              </w:rPr>
              <w:fldChar w:fldCharType="begin"/>
            </w:r>
            <w:r w:rsidR="00094DCD" w:rsidRPr="003D5C0F">
              <w:rPr>
                <w:rFonts w:cs="Arial"/>
              </w:rPr>
              <w:instrText xml:space="preserve">  </w:instrText>
            </w:r>
            <w:r w:rsidR="00094DCD" w:rsidRPr="003D5C0F">
              <w:rPr>
                <w:rFonts w:cs="Arial"/>
              </w:rPr>
              <w:fldChar w:fldCharType="end"/>
            </w:r>
          </w:p>
        </w:tc>
      </w:tr>
      <w:tr w:rsidR="00094DCD" w:rsidRPr="003D5C0F" w14:paraId="23675A5E" w14:textId="77777777" w:rsidTr="00D60BDB">
        <w:tc>
          <w:tcPr>
            <w:tcW w:w="3652" w:type="dxa"/>
          </w:tcPr>
          <w:p w14:paraId="754C6ABA" w14:textId="77777777" w:rsidR="00094DCD" w:rsidRPr="003D5C0F" w:rsidRDefault="00094DCD" w:rsidP="00D60BDB">
            <w:pPr>
              <w:spacing w:after="120"/>
              <w:jc w:val="left"/>
              <w:rPr>
                <w:rFonts w:cs="Arial"/>
                <w:sz w:val="22"/>
                <w:szCs w:val="22"/>
                <w:u w:val="single"/>
              </w:rPr>
            </w:pPr>
            <w:r w:rsidRPr="003D5C0F">
              <w:rPr>
                <w:rFonts w:cs="Arial"/>
                <w:sz w:val="22"/>
                <w:szCs w:val="22"/>
                <w:u w:val="single"/>
              </w:rPr>
              <w:t>CASE MAY BE CITED AS</w:t>
            </w:r>
            <w:r w:rsidRPr="003D5C0F">
              <w:rPr>
                <w:rFonts w:cs="Arial"/>
                <w:sz w:val="22"/>
                <w:szCs w:val="22"/>
              </w:rPr>
              <w:t>:</w:t>
            </w:r>
          </w:p>
        </w:tc>
        <w:tc>
          <w:tcPr>
            <w:tcW w:w="6356" w:type="dxa"/>
            <w:gridSpan w:val="2"/>
          </w:tcPr>
          <w:p w14:paraId="0FA76200" w14:textId="006BB969" w:rsidR="00094DCD" w:rsidRPr="003D5C0F" w:rsidRDefault="0063740F" w:rsidP="00D60BDB">
            <w:pPr>
              <w:spacing w:after="120"/>
              <w:rPr>
                <w:rFonts w:cs="Arial"/>
              </w:rPr>
            </w:pPr>
            <w:bookmarkStart w:id="15" w:name="COVcaseCited"/>
            <w:bookmarkEnd w:id="15"/>
            <w:r>
              <w:rPr>
                <w:rFonts w:cs="Arial"/>
              </w:rPr>
              <w:t>Adams (a pseudonym)</w:t>
            </w:r>
            <w:r w:rsidR="00094DCD" w:rsidRPr="003D5C0F">
              <w:rPr>
                <w:rFonts w:cs="Arial"/>
              </w:rPr>
              <w:t xml:space="preserve"> v DPP </w:t>
            </w:r>
            <w:r w:rsidR="007B6CFE">
              <w:rPr>
                <w:rFonts w:cs="Arial"/>
              </w:rPr>
              <w:t>(Ruling No 2)</w:t>
            </w:r>
          </w:p>
        </w:tc>
      </w:tr>
      <w:tr w:rsidR="00094DCD" w:rsidRPr="003D5C0F" w14:paraId="682758C4" w14:textId="77777777" w:rsidTr="00D60BDB">
        <w:trPr>
          <w:cantSplit/>
        </w:trPr>
        <w:tc>
          <w:tcPr>
            <w:tcW w:w="3652" w:type="dxa"/>
          </w:tcPr>
          <w:p w14:paraId="4F027CBF" w14:textId="77777777" w:rsidR="00094DCD" w:rsidRPr="003D5C0F" w:rsidRDefault="00094DCD" w:rsidP="00D60BDB">
            <w:pPr>
              <w:spacing w:after="120"/>
              <w:jc w:val="left"/>
              <w:rPr>
                <w:sz w:val="22"/>
                <w:szCs w:val="22"/>
                <w:u w:val="single"/>
              </w:rPr>
            </w:pPr>
            <w:bookmarkStart w:id="16" w:name="VSCyearDate"/>
            <w:r w:rsidRPr="003D5C0F">
              <w:rPr>
                <w:sz w:val="22"/>
                <w:szCs w:val="22"/>
                <w:u w:val="single"/>
              </w:rPr>
              <w:t>MEDIUM NEUTRAL CITATION</w:t>
            </w:r>
            <w:r w:rsidRPr="003D5C0F">
              <w:rPr>
                <w:sz w:val="22"/>
                <w:szCs w:val="22"/>
              </w:rPr>
              <w:t>:</w:t>
            </w:r>
          </w:p>
        </w:tc>
        <w:tc>
          <w:tcPr>
            <w:tcW w:w="3026" w:type="dxa"/>
          </w:tcPr>
          <w:p w14:paraId="2D7898DC" w14:textId="63BE7727" w:rsidR="00094DCD" w:rsidRPr="003D5C0F" w:rsidRDefault="00094DCD" w:rsidP="00D60BDB">
            <w:pPr>
              <w:spacing w:after="120"/>
            </w:pPr>
            <w:r w:rsidRPr="003D5C0F">
              <w:t xml:space="preserve">[2017] VCC </w:t>
            </w:r>
            <w:bookmarkStart w:id="17" w:name="COVvcc"/>
            <w:bookmarkEnd w:id="17"/>
            <w:r w:rsidR="00221D7C">
              <w:t>2999</w:t>
            </w:r>
          </w:p>
        </w:tc>
        <w:tc>
          <w:tcPr>
            <w:tcW w:w="3330" w:type="dxa"/>
          </w:tcPr>
          <w:p w14:paraId="068CF1DD" w14:textId="77777777" w:rsidR="00094DCD" w:rsidRPr="003D5C0F" w:rsidRDefault="00094DCD" w:rsidP="00D60BDB">
            <w:pPr>
              <w:spacing w:after="120"/>
            </w:pPr>
          </w:p>
        </w:tc>
      </w:tr>
      <w:bookmarkEnd w:id="16"/>
    </w:tbl>
    <w:p w14:paraId="48853ADC" w14:textId="77777777" w:rsidR="00094DCD" w:rsidRPr="003D5C0F" w:rsidRDefault="00094DCD" w:rsidP="00094DCD">
      <w:pPr>
        <w:rPr>
          <w:rFonts w:cs="Arial"/>
        </w:rPr>
      </w:pPr>
    </w:p>
    <w:p w14:paraId="3A2FD3BA" w14:textId="6F32B337" w:rsidR="00094DCD" w:rsidRPr="003D5C0F" w:rsidRDefault="00094DCD" w:rsidP="00094DCD">
      <w:pPr>
        <w:jc w:val="center"/>
        <w:rPr>
          <w:rFonts w:cs="Arial"/>
          <w:b/>
        </w:rPr>
      </w:pPr>
      <w:r w:rsidRPr="003D5C0F">
        <w:rPr>
          <w:rFonts w:cs="Arial"/>
          <w:b/>
        </w:rPr>
        <w:t>R</w:t>
      </w:r>
      <w:r w:rsidR="007B6CFE">
        <w:rPr>
          <w:rFonts w:cs="Arial"/>
          <w:b/>
        </w:rPr>
        <w:t>ULING</w:t>
      </w:r>
    </w:p>
    <w:p w14:paraId="57DA5D30" w14:textId="77777777" w:rsidR="00094DCD" w:rsidRPr="003D5C0F" w:rsidRDefault="00094DCD" w:rsidP="00094DCD">
      <w:pPr>
        <w:jc w:val="center"/>
        <w:rPr>
          <w:rFonts w:cs="Arial"/>
        </w:rPr>
      </w:pPr>
      <w:r w:rsidRPr="003D5C0F">
        <w:rPr>
          <w:rFonts w:cs="Arial"/>
        </w:rPr>
        <w:t>---</w:t>
      </w:r>
    </w:p>
    <w:p w14:paraId="6F35D360" w14:textId="0E1A0E13" w:rsidR="00094DCD" w:rsidRPr="003D5C0F" w:rsidRDefault="00094DCD" w:rsidP="00094DCD">
      <w:pPr>
        <w:pStyle w:val="Catchwords"/>
        <w:rPr>
          <w:rFonts w:cs="Arial"/>
        </w:rPr>
      </w:pPr>
      <w:r w:rsidRPr="003D5C0F">
        <w:rPr>
          <w:rFonts w:cs="Arial"/>
        </w:rPr>
        <w:fldChar w:fldCharType="begin"/>
      </w:r>
      <w:r w:rsidRPr="003D5C0F">
        <w:rPr>
          <w:rFonts w:cs="Arial"/>
        </w:rPr>
        <w:instrText xml:space="preserve">  </w:instrText>
      </w:r>
      <w:r w:rsidRPr="003D5C0F">
        <w:rPr>
          <w:rFonts w:cs="Arial"/>
        </w:rPr>
        <w:fldChar w:fldCharType="end"/>
      </w:r>
    </w:p>
    <w:p w14:paraId="7EFAFB03" w14:textId="77777777" w:rsidR="00094DCD" w:rsidRPr="003D5C0F" w:rsidRDefault="00094DCD" w:rsidP="00094DCD">
      <w:pPr>
        <w:rPr>
          <w:rFonts w:cs="Arial"/>
        </w:rPr>
      </w:pPr>
      <w:r w:rsidRPr="003D5C0F">
        <w:rPr>
          <w:rFonts w:cs="Arial"/>
        </w:rPr>
        <w:t>Subject:</w:t>
      </w:r>
      <w:r w:rsidRPr="003D5C0F">
        <w:rPr>
          <w:rFonts w:cs="Arial"/>
        </w:rPr>
        <w:tab/>
      </w:r>
      <w:r w:rsidRPr="003D5C0F">
        <w:rPr>
          <w:rFonts w:cs="Arial"/>
        </w:rPr>
        <w:tab/>
        <w:t>CIVIL CONFISCATION</w:t>
      </w:r>
    </w:p>
    <w:p w14:paraId="7BB23758" w14:textId="77777777" w:rsidR="00061E6A" w:rsidRDefault="00061E6A" w:rsidP="00094DCD">
      <w:pPr>
        <w:ind w:left="2160" w:hanging="2160"/>
        <w:rPr>
          <w:rFonts w:cs="Arial"/>
        </w:rPr>
      </w:pPr>
    </w:p>
    <w:p w14:paraId="7D7CAD14" w14:textId="33790891" w:rsidR="00094DCD" w:rsidRPr="003D5C0F" w:rsidRDefault="00094DCD" w:rsidP="00094DCD">
      <w:pPr>
        <w:ind w:left="2160" w:hanging="2160"/>
      </w:pPr>
      <w:r w:rsidRPr="003D5C0F">
        <w:rPr>
          <w:rFonts w:cs="Arial"/>
        </w:rPr>
        <w:t xml:space="preserve">Catchwords: </w:t>
      </w:r>
      <w:r w:rsidRPr="003D5C0F">
        <w:rPr>
          <w:rFonts w:cs="Arial"/>
        </w:rPr>
        <w:tab/>
      </w:r>
      <w:r w:rsidR="007B6CFE">
        <w:rPr>
          <w:rFonts w:cs="Arial"/>
        </w:rPr>
        <w:t>T</w:t>
      </w:r>
      <w:r w:rsidRPr="003D5C0F">
        <w:rPr>
          <w:rFonts w:cs="Arial"/>
        </w:rPr>
        <w:t xml:space="preserve">ainted property </w:t>
      </w:r>
      <w:r w:rsidR="007B6CFE">
        <w:rPr>
          <w:rFonts w:cs="Arial"/>
        </w:rPr>
        <w:t xml:space="preserve">– </w:t>
      </w:r>
      <w:r w:rsidRPr="003D5C0F">
        <w:rPr>
          <w:rFonts w:cs="Arial"/>
        </w:rPr>
        <w:t xml:space="preserve">cultivation of a narcotic plant </w:t>
      </w:r>
      <w:r w:rsidR="007B6CFE">
        <w:rPr>
          <w:rFonts w:cs="Arial"/>
        </w:rPr>
        <w:t xml:space="preserve">– </w:t>
      </w:r>
      <w:r w:rsidRPr="003D5C0F">
        <w:rPr>
          <w:rFonts w:cs="Arial"/>
        </w:rPr>
        <w:t>application for forfeiture of applicant</w:t>
      </w:r>
      <w:r w:rsidR="00834327">
        <w:rPr>
          <w:rFonts w:cs="Arial"/>
        </w:rPr>
        <w:t>’s</w:t>
      </w:r>
      <w:r w:rsidRPr="003D5C0F">
        <w:rPr>
          <w:rFonts w:cs="Arial"/>
        </w:rPr>
        <w:t xml:space="preserve"> interest in property </w:t>
      </w:r>
      <w:r w:rsidR="007B6CFE">
        <w:rPr>
          <w:rFonts w:cs="Arial"/>
        </w:rPr>
        <w:t xml:space="preserve">– </w:t>
      </w:r>
      <w:r w:rsidRPr="003D5C0F">
        <w:rPr>
          <w:rFonts w:cs="Arial"/>
        </w:rPr>
        <w:t xml:space="preserve">whether the granting of the order would result in “undue hardship” </w:t>
      </w:r>
      <w:r w:rsidR="007B6CFE">
        <w:rPr>
          <w:rFonts w:cs="Arial"/>
        </w:rPr>
        <w:t xml:space="preserve">– </w:t>
      </w:r>
      <w:r w:rsidRPr="003D5C0F">
        <w:rPr>
          <w:rFonts w:cs="Arial"/>
        </w:rPr>
        <w:t xml:space="preserve">meaning of “undue” </w:t>
      </w:r>
      <w:r w:rsidR="007B6CFE">
        <w:rPr>
          <w:rFonts w:cs="Arial"/>
        </w:rPr>
        <w:t xml:space="preserve">– </w:t>
      </w:r>
      <w:r w:rsidRPr="003D5C0F">
        <w:rPr>
          <w:rFonts w:cs="Arial"/>
        </w:rPr>
        <w:t>relevant considerations in the exercise of discr</w:t>
      </w:r>
      <w:r w:rsidR="001D1917">
        <w:rPr>
          <w:rFonts w:cs="Arial"/>
        </w:rPr>
        <w:t>etion to find “undue hardship”</w:t>
      </w:r>
    </w:p>
    <w:p w14:paraId="6F5DC743" w14:textId="77777777" w:rsidR="00061E6A" w:rsidRDefault="00061E6A" w:rsidP="002C5D07">
      <w:pPr>
        <w:ind w:left="2160" w:hanging="2160"/>
      </w:pPr>
    </w:p>
    <w:p w14:paraId="3308D65F" w14:textId="6E3A06CB" w:rsidR="00094DCD" w:rsidRPr="003D5C0F" w:rsidRDefault="00094DCD" w:rsidP="002C5D07">
      <w:pPr>
        <w:ind w:left="2160" w:hanging="2160"/>
      </w:pPr>
      <w:r w:rsidRPr="003D5C0F">
        <w:t>Legislation Cited:</w:t>
      </w:r>
      <w:r w:rsidRPr="003D5C0F">
        <w:tab/>
      </w:r>
      <w:r w:rsidR="00B63A1E" w:rsidRPr="003D5C0F">
        <w:rPr>
          <w:i/>
        </w:rPr>
        <w:t xml:space="preserve">Confiscation Act </w:t>
      </w:r>
      <w:r w:rsidR="00B63A1E" w:rsidRPr="00BF7EA3">
        <w:t>1997 (Vic)</w:t>
      </w:r>
      <w:r w:rsidR="007B6CFE">
        <w:t>;</w:t>
      </w:r>
      <w:r w:rsidR="00E87B07" w:rsidRPr="003D5C0F">
        <w:t xml:space="preserve"> </w:t>
      </w:r>
      <w:r w:rsidR="00E87B07" w:rsidRPr="003D5C0F">
        <w:rPr>
          <w:i/>
        </w:rPr>
        <w:t>Criminal Organisations Control and Other Acts Amendment Act</w:t>
      </w:r>
      <w:r w:rsidR="00E87B07" w:rsidRPr="003D5C0F">
        <w:t xml:space="preserve"> 2014</w:t>
      </w:r>
      <w:r w:rsidR="007B6CFE">
        <w:t>;</w:t>
      </w:r>
      <w:r w:rsidR="00B63A1E" w:rsidRPr="003D5C0F">
        <w:t xml:space="preserve"> </w:t>
      </w:r>
      <w:r w:rsidR="002C5D07" w:rsidRPr="003D5C0F">
        <w:rPr>
          <w:i/>
        </w:rPr>
        <w:t xml:space="preserve">Crimes (Confiscation of Profits) Act </w:t>
      </w:r>
      <w:r w:rsidR="002C5D07" w:rsidRPr="00BF7EA3">
        <w:t>1985 (NSW)</w:t>
      </w:r>
      <w:r w:rsidR="007B6CFE">
        <w:t>;</w:t>
      </w:r>
      <w:r w:rsidR="00E87B07" w:rsidRPr="003D5C0F">
        <w:t xml:space="preserve"> </w:t>
      </w:r>
      <w:r w:rsidR="00E87B07" w:rsidRPr="003D5C0F">
        <w:rPr>
          <w:i/>
        </w:rPr>
        <w:t xml:space="preserve">Criminal Organisations Control and Other Acts Amendment Bill </w:t>
      </w:r>
      <w:r w:rsidR="00E87B07" w:rsidRPr="00BF7EA3">
        <w:t>2014</w:t>
      </w:r>
    </w:p>
    <w:p w14:paraId="7F021B48" w14:textId="77777777" w:rsidR="00061E6A" w:rsidRDefault="00061E6A" w:rsidP="00011FA4">
      <w:pPr>
        <w:ind w:left="2160" w:hanging="2160"/>
      </w:pPr>
    </w:p>
    <w:p w14:paraId="5A59E786" w14:textId="0CACC29D" w:rsidR="007605D7" w:rsidRPr="00BF7EA3" w:rsidRDefault="00011FA4" w:rsidP="00011FA4">
      <w:pPr>
        <w:ind w:left="2160" w:hanging="2160"/>
      </w:pPr>
      <w:r w:rsidRPr="003D5C0F">
        <w:t>Cases Cited:</w:t>
      </w:r>
      <w:r w:rsidRPr="003D5C0F">
        <w:tab/>
      </w:r>
      <w:r w:rsidRPr="003D5C0F">
        <w:rPr>
          <w:i/>
        </w:rPr>
        <w:t>Lake v R</w:t>
      </w:r>
      <w:r w:rsidRPr="003D5C0F">
        <w:t xml:space="preserve"> (1989) 44 A Crim R 63</w:t>
      </w:r>
      <w:r w:rsidR="00AB6EE0">
        <w:t xml:space="preserve">; </w:t>
      </w:r>
      <w:r w:rsidR="00AB6EE0" w:rsidRPr="00D436AD">
        <w:rPr>
          <w:i/>
        </w:rPr>
        <w:t>Kinealy v D</w:t>
      </w:r>
      <w:r w:rsidR="00AB6EE0">
        <w:rPr>
          <w:i/>
        </w:rPr>
        <w:t xml:space="preserve">irector of Public Prosecutions </w:t>
      </w:r>
      <w:r w:rsidR="00AB6EE0">
        <w:t xml:space="preserve">(2013) 224 A Crim R 553; </w:t>
      </w:r>
      <w:r w:rsidR="00AB6EE0" w:rsidRPr="003D5C0F">
        <w:rPr>
          <w:i/>
        </w:rPr>
        <w:t>DPP v Tran</w:t>
      </w:r>
      <w:r w:rsidR="00AB6EE0" w:rsidRPr="003D5C0F">
        <w:t xml:space="preserve"> [2004] VSC 218</w:t>
      </w:r>
      <w:r w:rsidR="00AB6EE0">
        <w:t xml:space="preserve">; </w:t>
      </w:r>
      <w:r w:rsidR="00AB6EE0">
        <w:rPr>
          <w:i/>
        </w:rPr>
        <w:t>R</w:t>
      </w:r>
      <w:r w:rsidR="00AB6EE0" w:rsidRPr="003D5C0F">
        <w:rPr>
          <w:i/>
        </w:rPr>
        <w:t xml:space="preserve"> v Tran</w:t>
      </w:r>
      <w:r w:rsidR="00AB6EE0" w:rsidRPr="003D5C0F">
        <w:t xml:space="preserve"> [2004] VSC 218</w:t>
      </w:r>
      <w:r w:rsidR="00AB6EE0">
        <w:t xml:space="preserve">; </w:t>
      </w:r>
      <w:r w:rsidR="000007F1">
        <w:rPr>
          <w:i/>
        </w:rPr>
        <w:t xml:space="preserve">R v </w:t>
      </w:r>
      <w:r w:rsidRPr="003D5C0F">
        <w:rPr>
          <w:i/>
        </w:rPr>
        <w:t>Winand</w:t>
      </w:r>
      <w:r w:rsidR="008878CA">
        <w:rPr>
          <w:i/>
        </w:rPr>
        <w:t xml:space="preserve"> </w:t>
      </w:r>
      <w:r w:rsidRPr="003D5C0F">
        <w:t>(1994) 73 A Crim R 497</w:t>
      </w:r>
      <w:r w:rsidR="008878CA">
        <w:t>;</w:t>
      </w:r>
      <w:r w:rsidR="007605D7">
        <w:t xml:space="preserve"> </w:t>
      </w:r>
      <w:r w:rsidR="007605D7">
        <w:rPr>
          <w:i/>
        </w:rPr>
        <w:t xml:space="preserve">DPP v Ali (No 2) </w:t>
      </w:r>
      <w:r w:rsidR="007605D7">
        <w:t xml:space="preserve">[2010] VSC 503; </w:t>
      </w:r>
      <w:r w:rsidR="007605D7" w:rsidRPr="00B16FFF">
        <w:rPr>
          <w:i/>
        </w:rPr>
        <w:t xml:space="preserve">R v Wealand </w:t>
      </w:r>
      <w:r w:rsidR="007605D7">
        <w:t xml:space="preserve">(2002] 136 A Crim R </w:t>
      </w:r>
      <w:r w:rsidR="007605D7" w:rsidRPr="00965BCD">
        <w:t>159</w:t>
      </w:r>
      <w:r w:rsidR="007605D7">
        <w:t xml:space="preserve">; </w:t>
      </w:r>
      <w:r w:rsidR="007605D7" w:rsidRPr="001133BC">
        <w:rPr>
          <w:i/>
        </w:rPr>
        <w:t xml:space="preserve">Taylor v Attorney-General </w:t>
      </w:r>
      <w:r w:rsidR="007605D7">
        <w:rPr>
          <w:i/>
        </w:rPr>
        <w:t>(SA)</w:t>
      </w:r>
      <w:r w:rsidR="007605D7">
        <w:t xml:space="preserve"> (1991) 55 SASR 462; </w:t>
      </w:r>
      <w:r w:rsidR="007605D7">
        <w:rPr>
          <w:i/>
        </w:rPr>
        <w:t xml:space="preserve">Director of Public Prosecutions (Vic) v Cini </w:t>
      </w:r>
      <w:r w:rsidR="007605D7">
        <w:t>(2013) 38 VR 83</w:t>
      </w:r>
    </w:p>
    <w:p w14:paraId="06DC6355" w14:textId="77777777" w:rsidR="007605D7" w:rsidRDefault="007605D7" w:rsidP="00011FA4">
      <w:pPr>
        <w:ind w:left="2160" w:hanging="2160"/>
      </w:pPr>
    </w:p>
    <w:p w14:paraId="396E6607" w14:textId="6D10A53D" w:rsidR="00094DCD" w:rsidRPr="003D5C0F" w:rsidRDefault="007B6CFE" w:rsidP="003034C0">
      <w:pPr>
        <w:ind w:left="2160" w:hanging="2160"/>
      </w:pPr>
      <w:bookmarkStart w:id="18" w:name="Delj2"/>
      <w:r>
        <w:t>Ruling</w:t>
      </w:r>
      <w:bookmarkEnd w:id="18"/>
      <w:r w:rsidR="003034C0" w:rsidRPr="003D5C0F">
        <w:t>:</w:t>
      </w:r>
      <w:r w:rsidR="003034C0" w:rsidRPr="003D5C0F">
        <w:tab/>
        <w:t>The application is dismissed and an order for forfeiture is made in favour of the respondent</w:t>
      </w:r>
      <w:r w:rsidR="0001764F">
        <w:t>.</w:t>
      </w:r>
    </w:p>
    <w:p w14:paraId="5B4CDA4E" w14:textId="0AA5B071" w:rsidR="00094DCD" w:rsidRPr="003D5C0F" w:rsidRDefault="00094DCD" w:rsidP="00094DCD">
      <w:pPr>
        <w:rPr>
          <w:rFonts w:cs="Arial"/>
        </w:rPr>
      </w:pPr>
    </w:p>
    <w:p w14:paraId="2E5FD248" w14:textId="77777777" w:rsidR="00094DCD" w:rsidRPr="003D5C0F" w:rsidRDefault="00094DCD" w:rsidP="00094DCD">
      <w:pPr>
        <w:jc w:val="center"/>
        <w:rPr>
          <w:rFonts w:cs="Arial"/>
        </w:rPr>
      </w:pPr>
      <w:r w:rsidRPr="003D5C0F">
        <w:rPr>
          <w:rFonts w:cs="Arial"/>
        </w:rPr>
        <w:t>---</w:t>
      </w:r>
    </w:p>
    <w:p w14:paraId="2D12D5DF" w14:textId="5FE573DE" w:rsidR="00094DCD" w:rsidRPr="003D5C0F" w:rsidRDefault="00094DCD" w:rsidP="00094DCD">
      <w:pPr>
        <w:rPr>
          <w:rFonts w:cs="Arial"/>
        </w:rPr>
      </w:pPr>
    </w:p>
    <w:tbl>
      <w:tblPr>
        <w:tblW w:w="10116" w:type="dxa"/>
        <w:tblLayout w:type="fixed"/>
        <w:tblLook w:val="0000" w:firstRow="0" w:lastRow="0" w:firstColumn="0" w:lastColumn="0" w:noHBand="0" w:noVBand="0"/>
      </w:tblPr>
      <w:tblGrid>
        <w:gridCol w:w="3686"/>
        <w:gridCol w:w="22"/>
        <w:gridCol w:w="2955"/>
        <w:gridCol w:w="9"/>
        <w:gridCol w:w="3336"/>
        <w:gridCol w:w="108"/>
      </w:tblGrid>
      <w:tr w:rsidR="00094DCD" w:rsidRPr="003D5C0F" w14:paraId="705B6647" w14:textId="77777777" w:rsidTr="00D60BDB">
        <w:trPr>
          <w:gridAfter w:val="1"/>
          <w:wAfter w:w="108" w:type="dxa"/>
        </w:trPr>
        <w:tc>
          <w:tcPr>
            <w:tcW w:w="3708" w:type="dxa"/>
            <w:gridSpan w:val="2"/>
          </w:tcPr>
          <w:p w14:paraId="46A38AF4" w14:textId="77777777" w:rsidR="00094DCD" w:rsidRPr="003D5C0F" w:rsidRDefault="00094DCD" w:rsidP="00D60BDB">
            <w:pPr>
              <w:jc w:val="left"/>
              <w:rPr>
                <w:rFonts w:cs="Arial"/>
              </w:rPr>
            </w:pPr>
            <w:r w:rsidRPr="003D5C0F">
              <w:rPr>
                <w:rFonts w:cs="Arial"/>
                <w:u w:val="single"/>
              </w:rPr>
              <w:t>APPEARANCES</w:t>
            </w:r>
            <w:r w:rsidRPr="003D5C0F">
              <w:rPr>
                <w:rFonts w:cs="Arial"/>
              </w:rPr>
              <w:t>:</w:t>
            </w:r>
          </w:p>
          <w:p w14:paraId="0B167C4C" w14:textId="77777777" w:rsidR="00094DCD" w:rsidRPr="003D5C0F" w:rsidRDefault="00094DCD" w:rsidP="00D60BDB">
            <w:pPr>
              <w:jc w:val="left"/>
              <w:rPr>
                <w:rFonts w:cs="Arial"/>
              </w:rPr>
            </w:pPr>
          </w:p>
        </w:tc>
        <w:tc>
          <w:tcPr>
            <w:tcW w:w="2964" w:type="dxa"/>
            <w:gridSpan w:val="2"/>
          </w:tcPr>
          <w:p w14:paraId="78AB3849" w14:textId="77777777" w:rsidR="00094DCD" w:rsidRPr="003D5C0F" w:rsidRDefault="00094DCD" w:rsidP="00D60BDB">
            <w:pPr>
              <w:rPr>
                <w:rFonts w:cs="Arial"/>
              </w:rPr>
            </w:pPr>
            <w:r w:rsidRPr="003D5C0F">
              <w:rPr>
                <w:rFonts w:cs="Arial"/>
                <w:u w:val="single"/>
              </w:rPr>
              <w:t>Counsel</w:t>
            </w:r>
          </w:p>
        </w:tc>
        <w:tc>
          <w:tcPr>
            <w:tcW w:w="3336" w:type="dxa"/>
          </w:tcPr>
          <w:p w14:paraId="5B9B5010" w14:textId="77777777" w:rsidR="00094DCD" w:rsidRPr="003D5C0F" w:rsidRDefault="00094DCD" w:rsidP="00D60BDB">
            <w:pPr>
              <w:rPr>
                <w:rFonts w:cs="Arial"/>
              </w:rPr>
            </w:pPr>
            <w:r w:rsidRPr="003D5C0F">
              <w:rPr>
                <w:rFonts w:cs="Arial"/>
                <w:u w:val="single"/>
              </w:rPr>
              <w:t>Solicitors</w:t>
            </w:r>
          </w:p>
        </w:tc>
      </w:tr>
      <w:tr w:rsidR="00094DCD" w:rsidRPr="003D5C0F" w14:paraId="5A0D7858" w14:textId="77777777" w:rsidTr="00BF7EA3">
        <w:tc>
          <w:tcPr>
            <w:tcW w:w="3686" w:type="dxa"/>
          </w:tcPr>
          <w:p w14:paraId="7D6FA448" w14:textId="77777777" w:rsidR="00094DCD" w:rsidRPr="003D5C0F" w:rsidRDefault="00094DCD" w:rsidP="00D60BDB">
            <w:pPr>
              <w:spacing w:line="240" w:lineRule="auto"/>
              <w:jc w:val="left"/>
              <w:rPr>
                <w:rFonts w:cs="Arial"/>
                <w:szCs w:val="24"/>
                <w:u w:val="single"/>
              </w:rPr>
            </w:pPr>
            <w:r w:rsidRPr="003D5C0F">
              <w:rPr>
                <w:rFonts w:cs="Arial"/>
                <w:szCs w:val="24"/>
              </w:rPr>
              <w:t>For the Applicant</w:t>
            </w:r>
          </w:p>
        </w:tc>
        <w:tc>
          <w:tcPr>
            <w:tcW w:w="2977" w:type="dxa"/>
            <w:gridSpan w:val="2"/>
          </w:tcPr>
          <w:p w14:paraId="3EFE4CFA" w14:textId="77777777" w:rsidR="00094DCD" w:rsidRPr="003D5C0F" w:rsidRDefault="00094DCD" w:rsidP="00D60BDB">
            <w:pPr>
              <w:spacing w:line="240" w:lineRule="auto"/>
              <w:rPr>
                <w:rFonts w:cs="Arial"/>
                <w:szCs w:val="24"/>
              </w:rPr>
            </w:pPr>
            <w:r w:rsidRPr="003D5C0F">
              <w:rPr>
                <w:rFonts w:cs="Arial"/>
                <w:szCs w:val="24"/>
              </w:rPr>
              <w:t>Mr F Scully</w:t>
            </w:r>
          </w:p>
        </w:tc>
        <w:tc>
          <w:tcPr>
            <w:tcW w:w="3453" w:type="dxa"/>
            <w:gridSpan w:val="3"/>
          </w:tcPr>
          <w:p w14:paraId="3CDBDF2C" w14:textId="77777777" w:rsidR="00094DCD" w:rsidRPr="003D5C0F" w:rsidRDefault="00094DCD" w:rsidP="00D60BDB">
            <w:pPr>
              <w:spacing w:line="240" w:lineRule="auto"/>
              <w:jc w:val="left"/>
              <w:rPr>
                <w:rFonts w:cs="Arial"/>
                <w:szCs w:val="24"/>
              </w:rPr>
            </w:pPr>
            <w:r w:rsidRPr="003D5C0F">
              <w:rPr>
                <w:rFonts w:cs="Arial"/>
                <w:szCs w:val="24"/>
              </w:rPr>
              <w:t>WMB Lawyers</w:t>
            </w:r>
          </w:p>
        </w:tc>
      </w:tr>
      <w:tr w:rsidR="00094DCD" w:rsidRPr="003D5C0F" w14:paraId="12B91E4E" w14:textId="77777777" w:rsidTr="00BF7EA3">
        <w:trPr>
          <w:trHeight w:val="183"/>
        </w:trPr>
        <w:tc>
          <w:tcPr>
            <w:tcW w:w="3686" w:type="dxa"/>
          </w:tcPr>
          <w:p w14:paraId="51CEAE3F" w14:textId="77777777" w:rsidR="00094DCD" w:rsidRPr="003D5C0F" w:rsidRDefault="00094DCD" w:rsidP="00D60BDB">
            <w:pPr>
              <w:spacing w:line="240" w:lineRule="auto"/>
              <w:jc w:val="left"/>
              <w:rPr>
                <w:rFonts w:cs="Arial"/>
                <w:sz w:val="16"/>
                <w:szCs w:val="16"/>
              </w:rPr>
            </w:pPr>
          </w:p>
        </w:tc>
        <w:tc>
          <w:tcPr>
            <w:tcW w:w="2977" w:type="dxa"/>
            <w:gridSpan w:val="2"/>
          </w:tcPr>
          <w:p w14:paraId="00FF7E68" w14:textId="77777777" w:rsidR="00094DCD" w:rsidRPr="003D5C0F" w:rsidRDefault="00094DCD" w:rsidP="00D60BDB">
            <w:pPr>
              <w:spacing w:line="240" w:lineRule="auto"/>
              <w:rPr>
                <w:rFonts w:cs="Arial"/>
                <w:sz w:val="16"/>
                <w:szCs w:val="16"/>
              </w:rPr>
            </w:pPr>
          </w:p>
        </w:tc>
        <w:tc>
          <w:tcPr>
            <w:tcW w:w="3453" w:type="dxa"/>
            <w:gridSpan w:val="3"/>
          </w:tcPr>
          <w:p w14:paraId="64A11540" w14:textId="77777777" w:rsidR="00094DCD" w:rsidRPr="003D5C0F" w:rsidRDefault="00094DCD" w:rsidP="00D60BDB">
            <w:pPr>
              <w:spacing w:line="240" w:lineRule="auto"/>
              <w:rPr>
                <w:rFonts w:cs="Arial"/>
                <w:sz w:val="16"/>
                <w:szCs w:val="16"/>
              </w:rPr>
            </w:pPr>
          </w:p>
        </w:tc>
      </w:tr>
      <w:tr w:rsidR="00094DCD" w:rsidRPr="003D5C0F" w14:paraId="071864A6" w14:textId="77777777" w:rsidTr="00BF7EA3">
        <w:trPr>
          <w:trHeight w:val="471"/>
        </w:trPr>
        <w:tc>
          <w:tcPr>
            <w:tcW w:w="3686" w:type="dxa"/>
          </w:tcPr>
          <w:p w14:paraId="62CC6469" w14:textId="77777777" w:rsidR="00094DCD" w:rsidRPr="003D5C0F" w:rsidRDefault="00094DCD" w:rsidP="00D60BDB">
            <w:pPr>
              <w:spacing w:line="240" w:lineRule="auto"/>
              <w:jc w:val="left"/>
              <w:rPr>
                <w:rFonts w:cs="Arial"/>
                <w:szCs w:val="24"/>
                <w:u w:val="single"/>
              </w:rPr>
            </w:pPr>
            <w:r w:rsidRPr="003D5C0F">
              <w:rPr>
                <w:rFonts w:cs="Arial"/>
                <w:szCs w:val="24"/>
              </w:rPr>
              <w:t>For the Respondent</w:t>
            </w:r>
          </w:p>
        </w:tc>
        <w:tc>
          <w:tcPr>
            <w:tcW w:w="2977" w:type="dxa"/>
            <w:gridSpan w:val="2"/>
          </w:tcPr>
          <w:p w14:paraId="5634F453" w14:textId="04F4D1F5" w:rsidR="00094DCD" w:rsidRPr="003D5C0F" w:rsidRDefault="00A4360A" w:rsidP="00D60BDB">
            <w:pPr>
              <w:spacing w:line="240" w:lineRule="auto"/>
              <w:rPr>
                <w:rFonts w:cs="Arial"/>
                <w:szCs w:val="24"/>
              </w:rPr>
            </w:pPr>
            <w:r w:rsidRPr="003D5C0F">
              <w:rPr>
                <w:rFonts w:cs="Arial"/>
                <w:szCs w:val="24"/>
              </w:rPr>
              <w:t>Mr T Gyorffy QC</w:t>
            </w:r>
          </w:p>
        </w:tc>
        <w:tc>
          <w:tcPr>
            <w:tcW w:w="3453" w:type="dxa"/>
            <w:gridSpan w:val="3"/>
          </w:tcPr>
          <w:p w14:paraId="488DE85F" w14:textId="77777777" w:rsidR="00094DCD" w:rsidRPr="003D5C0F" w:rsidRDefault="00094DCD" w:rsidP="00D60BDB">
            <w:pPr>
              <w:spacing w:line="240" w:lineRule="auto"/>
              <w:jc w:val="left"/>
              <w:rPr>
                <w:rFonts w:cs="Arial"/>
                <w:szCs w:val="24"/>
              </w:rPr>
            </w:pPr>
            <w:r w:rsidRPr="003D5C0F">
              <w:rPr>
                <w:szCs w:val="32"/>
              </w:rPr>
              <w:t>Solicitor for the Office of Public Prosecutions</w:t>
            </w:r>
          </w:p>
        </w:tc>
      </w:tr>
    </w:tbl>
    <w:p w14:paraId="4DD9E981" w14:textId="77777777" w:rsidR="00094DCD" w:rsidRPr="003D5C0F" w:rsidRDefault="00094DCD" w:rsidP="00094DCD">
      <w:pPr>
        <w:tabs>
          <w:tab w:val="left" w:pos="1440"/>
        </w:tabs>
        <w:rPr>
          <w:rFonts w:cs="Arial"/>
          <w:u w:val="single"/>
          <w:lang w:val="en-US"/>
        </w:rPr>
      </w:pPr>
    </w:p>
    <w:p w14:paraId="3BDFD25B" w14:textId="77777777" w:rsidR="00094DCD" w:rsidRPr="003D5C0F" w:rsidRDefault="00094DCD" w:rsidP="00094DCD">
      <w:pPr>
        <w:tabs>
          <w:tab w:val="left" w:pos="1440"/>
        </w:tabs>
        <w:rPr>
          <w:rFonts w:cs="Arial"/>
          <w:u w:val="single"/>
          <w:lang w:val="en-US"/>
        </w:rPr>
        <w:sectPr w:rsidR="00094DCD" w:rsidRPr="003D5C0F" w:rsidSect="000A3FB3">
          <w:headerReference w:type="default" r:id="rId8"/>
          <w:footerReference w:type="even" r:id="rId9"/>
          <w:footerReference w:type="default" r:id="rId10"/>
          <w:pgSz w:w="11909" w:h="16834" w:code="9"/>
          <w:pgMar w:top="907" w:right="1140" w:bottom="1151" w:left="1009" w:header="709" w:footer="431" w:gutter="0"/>
          <w:pgNumType w:fmt="lowerRoman" w:start="1"/>
          <w:cols w:space="720"/>
        </w:sectPr>
      </w:pPr>
    </w:p>
    <w:p w14:paraId="1495B465" w14:textId="77777777" w:rsidR="0023669A" w:rsidRPr="003D5C0F" w:rsidRDefault="0023669A">
      <w:pPr>
        <w:tabs>
          <w:tab w:val="left" w:pos="1440"/>
        </w:tabs>
        <w:rPr>
          <w:rFonts w:cs="Arial"/>
        </w:rPr>
      </w:pPr>
    </w:p>
    <w:p w14:paraId="4E36372B" w14:textId="77777777" w:rsidR="0023669A" w:rsidRPr="003D5C0F" w:rsidRDefault="0023669A">
      <w:pPr>
        <w:tabs>
          <w:tab w:val="left" w:pos="1440"/>
        </w:tabs>
        <w:rPr>
          <w:rFonts w:cs="Arial"/>
        </w:rPr>
      </w:pPr>
      <w:bookmarkStart w:id="20" w:name="DELhis"/>
      <w:r w:rsidRPr="003D5C0F">
        <w:rPr>
          <w:rFonts w:cs="Arial"/>
        </w:rPr>
        <w:t>HIS</w:t>
      </w:r>
      <w:bookmarkEnd w:id="20"/>
      <w:r w:rsidRPr="003D5C0F">
        <w:rPr>
          <w:rFonts w:cs="Arial"/>
        </w:rPr>
        <w:t xml:space="preserve"> HONOUR:</w:t>
      </w:r>
    </w:p>
    <w:p w14:paraId="10EF5A78" w14:textId="77777777" w:rsidR="00C6223D" w:rsidRPr="003D5C0F" w:rsidRDefault="00C6223D" w:rsidP="00C6223D"/>
    <w:p w14:paraId="496E6C02" w14:textId="77777777" w:rsidR="00094DCD" w:rsidRPr="003D5C0F" w:rsidRDefault="00094DCD" w:rsidP="00BF7EA3">
      <w:pPr>
        <w:pStyle w:val="Heading10"/>
      </w:pPr>
      <w:r w:rsidRPr="003D5C0F">
        <w:t>Introduction</w:t>
      </w:r>
    </w:p>
    <w:p w14:paraId="2C326E55" w14:textId="46D7D672" w:rsidR="00094DCD" w:rsidRPr="003D5C0F" w:rsidRDefault="00094DCD" w:rsidP="00094DCD">
      <w:pPr>
        <w:pStyle w:val="Heading1"/>
      </w:pPr>
      <w:r w:rsidRPr="003D5C0F">
        <w:t>On 17 March 2017</w:t>
      </w:r>
      <w:r w:rsidR="00061E6A">
        <w:t>,</w:t>
      </w:r>
      <w:r w:rsidRPr="003D5C0F">
        <w:t xml:space="preserve"> I dismissed the applicant’s application for an exclusion order made pursuant to s36U of the </w:t>
      </w:r>
      <w:r w:rsidRPr="003D5C0F">
        <w:rPr>
          <w:i/>
        </w:rPr>
        <w:t>Confiscation Act</w:t>
      </w:r>
      <w:r w:rsidR="00E874B0" w:rsidRPr="003D5C0F">
        <w:t xml:space="preserve"> 1997 (Vic) (</w:t>
      </w:r>
      <w:r w:rsidRPr="003D5C0F">
        <w:t xml:space="preserve">“the </w:t>
      </w:r>
      <w:r w:rsidRPr="00BF7EA3">
        <w:rPr>
          <w:i/>
        </w:rPr>
        <w:t>Confiscation Act</w:t>
      </w:r>
      <w:r w:rsidRPr="003D5C0F">
        <w:t xml:space="preserve">”) from a restraining order made on 20 January 2015 relevant to a property at </w:t>
      </w:r>
      <w:r w:rsidR="00221D7C">
        <w:t>16 Valley Street, Black Rock</w:t>
      </w:r>
      <w:r w:rsidR="00717886">
        <w:t xml:space="preserve"> </w:t>
      </w:r>
      <w:r w:rsidR="00717886">
        <w:rPr>
          <w:rStyle w:val="FootnoteReference"/>
        </w:rPr>
        <w:footnoteReference w:id="2"/>
      </w:r>
      <w:r w:rsidRPr="003D5C0F">
        <w:t xml:space="preserve"> (“the property”).</w:t>
      </w:r>
    </w:p>
    <w:p w14:paraId="25BF720C" w14:textId="48594F8B" w:rsidR="00094DCD" w:rsidRPr="003D5C0F" w:rsidRDefault="00094DCD" w:rsidP="00094DCD">
      <w:pPr>
        <w:pStyle w:val="Heading1"/>
      </w:pPr>
      <w:r w:rsidRPr="003D5C0F">
        <w:t xml:space="preserve">I handed down </w:t>
      </w:r>
      <w:r w:rsidR="00E874B0" w:rsidRPr="003D5C0F">
        <w:t xml:space="preserve">a written Ruling </w:t>
      </w:r>
      <w:r w:rsidRPr="003D5C0F">
        <w:t>on 17 March</w:t>
      </w:r>
      <w:r w:rsidR="00E874B0" w:rsidRPr="003D5C0F">
        <w:t xml:space="preserve"> 2017</w:t>
      </w:r>
      <w:r w:rsidRPr="003D5C0F">
        <w:t>.</w:t>
      </w:r>
      <w:r w:rsidRPr="003D5C0F">
        <w:rPr>
          <w:vertAlign w:val="superscript"/>
        </w:rPr>
        <w:footnoteReference w:id="3"/>
      </w:r>
      <w:r w:rsidRPr="003D5C0F">
        <w:t xml:space="preserve"> </w:t>
      </w:r>
      <w:r w:rsidR="00061E6A">
        <w:t xml:space="preserve"> </w:t>
      </w:r>
      <w:r w:rsidRPr="003D5C0F">
        <w:t xml:space="preserve">In that </w:t>
      </w:r>
      <w:r w:rsidR="00061E6A">
        <w:t>R</w:t>
      </w:r>
      <w:r w:rsidRPr="003D5C0F">
        <w:t>uling</w:t>
      </w:r>
      <w:r w:rsidR="00061E6A">
        <w:t>,</w:t>
      </w:r>
      <w:r w:rsidRPr="003D5C0F">
        <w:t xml:space="preserve"> I set out a summary of the facts which I incorporate into these </w:t>
      </w:r>
      <w:r w:rsidR="00061E6A">
        <w:t>R</w:t>
      </w:r>
      <w:r w:rsidRPr="003D5C0F">
        <w:t>easons.</w:t>
      </w:r>
    </w:p>
    <w:p w14:paraId="3C86EE8E" w14:textId="5EE961ED" w:rsidR="00094DCD" w:rsidRPr="003D5C0F" w:rsidRDefault="00E874B0" w:rsidP="00BF7EA3">
      <w:pPr>
        <w:pStyle w:val="Heading10"/>
      </w:pPr>
      <w:r w:rsidRPr="003D5C0F">
        <w:t>This a</w:t>
      </w:r>
      <w:r w:rsidR="00094DCD" w:rsidRPr="003D5C0F">
        <w:t>pplication</w:t>
      </w:r>
    </w:p>
    <w:p w14:paraId="1F7AA045" w14:textId="57C51BD9" w:rsidR="00094DCD" w:rsidRPr="003D5C0F" w:rsidRDefault="00094DCD" w:rsidP="00094DCD">
      <w:pPr>
        <w:pStyle w:val="Heading1"/>
      </w:pPr>
      <w:r w:rsidRPr="003D5C0F">
        <w:t xml:space="preserve">Counsel for the respondent referred me to what must be proved under s38(1) of the </w:t>
      </w:r>
      <w:r w:rsidRPr="00BF7EA3">
        <w:rPr>
          <w:i/>
        </w:rPr>
        <w:t>Confiscation Act</w:t>
      </w:r>
      <w:r w:rsidRPr="003D5C0F">
        <w:t xml:space="preserve">. </w:t>
      </w:r>
      <w:r w:rsidR="00A1680B">
        <w:t xml:space="preserve"> </w:t>
      </w:r>
      <w:r w:rsidRPr="003D5C0F">
        <w:t>No issue was taken by counsel for the applicant that those matters had not b</w:t>
      </w:r>
      <w:r w:rsidR="00E874B0" w:rsidRPr="003D5C0F">
        <w:t xml:space="preserve">een proved satisfactorily. </w:t>
      </w:r>
      <w:r w:rsidR="00A1680B">
        <w:t xml:space="preserve"> </w:t>
      </w:r>
      <w:r w:rsidR="00E874B0" w:rsidRPr="003D5C0F">
        <w:t>I</w:t>
      </w:r>
      <w:r w:rsidRPr="003D5C0F">
        <w:t>ndeed, the only issue raised by counsel for the applicant was whether I should exercise the discretion under s45(1) to make an order for forfeiture or not.</w:t>
      </w:r>
    </w:p>
    <w:p w14:paraId="3E633302" w14:textId="4A3891CD" w:rsidR="00094DCD" w:rsidRPr="003D5C0F" w:rsidRDefault="00094DCD" w:rsidP="00094DCD">
      <w:pPr>
        <w:pStyle w:val="Heading1"/>
      </w:pPr>
      <w:r w:rsidRPr="003D5C0F">
        <w:t xml:space="preserve">Counsel for the applicant referred me to a number of authorities which he submitted demonstrate the basis upon which I should exercise the discretion in s45(1) of the </w:t>
      </w:r>
      <w:r w:rsidRPr="003D5C0F">
        <w:rPr>
          <w:i/>
        </w:rPr>
        <w:t>Confiscation Act</w:t>
      </w:r>
      <w:r w:rsidRPr="003D5C0F">
        <w:t xml:space="preserve"> not to make an order for forfeiture of the applicant’s equitable interest in the property.</w:t>
      </w:r>
    </w:p>
    <w:p w14:paraId="7EA8B98D" w14:textId="2D14EEF2" w:rsidR="00094DCD" w:rsidRPr="003D5C0F" w:rsidRDefault="00094DCD" w:rsidP="00094DCD">
      <w:pPr>
        <w:pStyle w:val="Heading1"/>
      </w:pPr>
      <w:r w:rsidRPr="003D5C0F">
        <w:t>Counsel for the respondent submitted that the authorities relied upon by the applicant considered the basis for the exercise of discretion before s45(1) was amended.</w:t>
      </w:r>
    </w:p>
    <w:p w14:paraId="29E350A8" w14:textId="31FE1E94" w:rsidR="00094DCD" w:rsidRPr="003D5C0F" w:rsidRDefault="00094DCD" w:rsidP="00094DCD">
      <w:pPr>
        <w:pStyle w:val="Heading1"/>
      </w:pPr>
      <w:r w:rsidRPr="003D5C0F">
        <w:t>Before amendment</w:t>
      </w:r>
      <w:r w:rsidR="00A1680B">
        <w:t>,</w:t>
      </w:r>
      <w:r w:rsidRPr="003D5C0F">
        <w:t xml:space="preserve"> the relevant part of s45(1) was as follows:</w:t>
      </w:r>
    </w:p>
    <w:p w14:paraId="109A0F61" w14:textId="77777777" w:rsidR="00094DCD" w:rsidRPr="003D5C0F" w:rsidRDefault="00094DCD" w:rsidP="00A1680B">
      <w:pPr>
        <w:pStyle w:val="Quote1"/>
        <w:tabs>
          <w:tab w:val="left" w:pos="3119"/>
        </w:tabs>
        <w:ind w:left="2552" w:hanging="681"/>
      </w:pPr>
      <w:r w:rsidRPr="003D5C0F">
        <w:t>“(1)</w:t>
      </w:r>
      <w:r w:rsidRPr="003D5C0F">
        <w:tab/>
        <w:t>If a court is satisfied that hardship may reasonably be likely to be caused to any person by a forfeiture order or a civil forfeiture order made by that court, the court -</w:t>
      </w:r>
    </w:p>
    <w:p w14:paraId="014CC79F" w14:textId="2A0AE535" w:rsidR="00094DCD" w:rsidRPr="003D5C0F" w:rsidRDefault="00A1680B" w:rsidP="00BF7EA3">
      <w:pPr>
        <w:pStyle w:val="Quote1"/>
        <w:tabs>
          <w:tab w:val="left" w:pos="2552"/>
          <w:tab w:val="left" w:pos="3119"/>
        </w:tabs>
        <w:ind w:left="3119" w:hanging="1248"/>
      </w:pPr>
      <w:r>
        <w:tab/>
      </w:r>
      <w:r w:rsidR="00094DCD" w:rsidRPr="003D5C0F">
        <w:t>(a)</w:t>
      </w:r>
      <w:r w:rsidR="00094DCD" w:rsidRPr="003D5C0F">
        <w:tab/>
        <w:t xml:space="preserve">may order that the person is entitled to be paid a specified amount out of the forfeited property, being an amount that the court thinks is necessary to prevent hardship to the person; </w:t>
      </w:r>
      <w:r w:rsidR="00094DCD" w:rsidRPr="003D5C0F">
        <w:lastRenderedPageBreak/>
        <w:t>and</w:t>
      </w:r>
    </w:p>
    <w:p w14:paraId="7992C7E5" w14:textId="6C42E5B9" w:rsidR="00094DCD" w:rsidRPr="003D5C0F" w:rsidRDefault="00A1680B" w:rsidP="00BF7EA3">
      <w:pPr>
        <w:pStyle w:val="Quote1"/>
        <w:tabs>
          <w:tab w:val="left" w:pos="2552"/>
          <w:tab w:val="left" w:pos="3119"/>
        </w:tabs>
        <w:ind w:left="3119" w:hanging="1248"/>
      </w:pPr>
      <w:r>
        <w:tab/>
      </w:r>
      <w:r w:rsidR="00094DCD" w:rsidRPr="003D5C0F">
        <w:t>(b)</w:t>
      </w:r>
      <w:r w:rsidR="00094DCD" w:rsidRPr="003D5C0F">
        <w:tab/>
        <w:t>may make ancillary orders for the purpose of ensuring the proper application of an amount so paid to a person who was under 18 years of age.”</w:t>
      </w:r>
    </w:p>
    <w:p w14:paraId="0F0B91AF" w14:textId="6456F7F9" w:rsidR="00094DCD" w:rsidRPr="003D5C0F" w:rsidRDefault="00094DCD" w:rsidP="00094DCD">
      <w:pPr>
        <w:pStyle w:val="Heading1"/>
      </w:pPr>
      <w:r w:rsidRPr="003D5C0F">
        <w:t xml:space="preserve">Section 45 (1) was amended by the </w:t>
      </w:r>
      <w:r w:rsidRPr="003D5C0F">
        <w:rPr>
          <w:i/>
        </w:rPr>
        <w:t>Criminal Organisations Control and Other Acts Amendment Act</w:t>
      </w:r>
      <w:r w:rsidRPr="003D5C0F">
        <w:t xml:space="preserve"> 2014. It amended s</w:t>
      </w:r>
      <w:r w:rsidR="00A1680B">
        <w:t>s</w:t>
      </w:r>
      <w:r w:rsidRPr="003D5C0F">
        <w:t>(1) to include s</w:t>
      </w:r>
      <w:r w:rsidR="00A1680B">
        <w:t>s</w:t>
      </w:r>
      <w:r w:rsidRPr="003D5C0F">
        <w:t>(1A). With the addition of the amendments</w:t>
      </w:r>
      <w:r w:rsidR="00A1680B">
        <w:t>,</w:t>
      </w:r>
      <w:r w:rsidRPr="003D5C0F">
        <w:t xml:space="preserve"> the relevant part of s45 now is as follows:</w:t>
      </w:r>
    </w:p>
    <w:p w14:paraId="49E09E65" w14:textId="77777777" w:rsidR="00094DCD" w:rsidRPr="003D5C0F" w:rsidRDefault="00094DCD" w:rsidP="00A1680B">
      <w:pPr>
        <w:pStyle w:val="Quote1"/>
        <w:tabs>
          <w:tab w:val="left" w:pos="3119"/>
          <w:tab w:val="left" w:pos="3686"/>
        </w:tabs>
        <w:ind w:left="2552" w:hanging="681"/>
      </w:pPr>
      <w:r w:rsidRPr="003D5C0F">
        <w:t>“(1)</w:t>
      </w:r>
      <w:r w:rsidRPr="003D5C0F">
        <w:tab/>
      </w:r>
      <w:r w:rsidR="00335E89" w:rsidRPr="003D5C0F">
        <w:rPr>
          <w:b/>
        </w:rPr>
        <w:t>S</w:t>
      </w:r>
      <w:r w:rsidRPr="003D5C0F">
        <w:rPr>
          <w:b/>
        </w:rPr>
        <w:t>ubject to subsection (1A),</w:t>
      </w:r>
      <w:r w:rsidRPr="003D5C0F">
        <w:t xml:space="preserve"> if a court is satisfied that </w:t>
      </w:r>
      <w:r w:rsidRPr="003D5C0F">
        <w:rPr>
          <w:b/>
        </w:rPr>
        <w:t>undue</w:t>
      </w:r>
      <w:r w:rsidRPr="003D5C0F">
        <w:t xml:space="preserve"> hardship may reasonably be likely to be caused to any person by forfeiture order or a civil forfeiture order made by that court, the court -</w:t>
      </w:r>
    </w:p>
    <w:p w14:paraId="49296EE5" w14:textId="1EBEEBF5" w:rsidR="00094DCD" w:rsidRPr="003D5C0F" w:rsidRDefault="00A1680B" w:rsidP="00BF7EA3">
      <w:pPr>
        <w:pStyle w:val="Quote1"/>
        <w:tabs>
          <w:tab w:val="left" w:pos="2552"/>
          <w:tab w:val="left" w:pos="3119"/>
          <w:tab w:val="left" w:pos="3686"/>
        </w:tabs>
        <w:ind w:left="3119" w:hanging="1248"/>
      </w:pPr>
      <w:r>
        <w:tab/>
      </w:r>
      <w:r w:rsidR="00094DCD" w:rsidRPr="003D5C0F">
        <w:t>(a)</w:t>
      </w:r>
      <w:r w:rsidR="00094DCD" w:rsidRPr="003D5C0F">
        <w:tab/>
        <w:t xml:space="preserve">may order that the person is entitled to be paid a specified amount out of the forfeited property, being an amount that the court thinks is necessary to prevent </w:t>
      </w:r>
      <w:r w:rsidR="00094DCD" w:rsidRPr="003D5C0F">
        <w:rPr>
          <w:b/>
        </w:rPr>
        <w:t>undue</w:t>
      </w:r>
      <w:r w:rsidR="00094DCD" w:rsidRPr="003D5C0F">
        <w:t xml:space="preserve"> hardship to the person; and</w:t>
      </w:r>
    </w:p>
    <w:p w14:paraId="559017BD" w14:textId="42AD783B" w:rsidR="00094DCD" w:rsidRPr="003D5C0F" w:rsidRDefault="00A1680B" w:rsidP="00BF7EA3">
      <w:pPr>
        <w:pStyle w:val="Quote1"/>
        <w:tabs>
          <w:tab w:val="left" w:pos="2552"/>
          <w:tab w:val="left" w:pos="3119"/>
          <w:tab w:val="left" w:pos="3686"/>
        </w:tabs>
        <w:ind w:left="3119" w:hanging="1248"/>
      </w:pPr>
      <w:r>
        <w:tab/>
      </w:r>
      <w:r w:rsidR="00094DCD" w:rsidRPr="003D5C0F">
        <w:t>(b)</w:t>
      </w:r>
      <w:r w:rsidR="00094DCD" w:rsidRPr="003D5C0F">
        <w:tab/>
        <w:t>may make ancillary orders for the purpose of ensuring the proper application of an amount so paid to a person who was under 18 years of age.</w:t>
      </w:r>
    </w:p>
    <w:p w14:paraId="13EB919E" w14:textId="77777777" w:rsidR="00094DCD" w:rsidRPr="003D5C0F" w:rsidRDefault="00094DCD" w:rsidP="00A1680B">
      <w:pPr>
        <w:pStyle w:val="Quote1"/>
        <w:tabs>
          <w:tab w:val="left" w:pos="3119"/>
          <w:tab w:val="left" w:pos="3686"/>
        </w:tabs>
        <w:ind w:left="2552" w:hanging="681"/>
      </w:pPr>
      <w:r w:rsidRPr="003D5C0F">
        <w:t>(1A)</w:t>
      </w:r>
      <w:r w:rsidRPr="003D5C0F">
        <w:tab/>
      </w:r>
      <w:r w:rsidRPr="003D5C0F">
        <w:rPr>
          <w:b/>
        </w:rPr>
        <w:t>For the purposes of subsection (1), when determining whether undue hardship may be caused by a forfeiture order to the person convicted of the offence in relation to which the forfeiture order has been made, the court must not take into account the impact on that person of the sentence given for that offence</w:t>
      </w:r>
      <w:r w:rsidRPr="00BF7EA3">
        <w:t>.</w:t>
      </w:r>
      <w:r w:rsidRPr="003D5C0F">
        <w:t>”</w:t>
      </w:r>
    </w:p>
    <w:p w14:paraId="4F3E19B6" w14:textId="29678C59" w:rsidR="00094DCD" w:rsidRPr="003D5C0F" w:rsidRDefault="00575763" w:rsidP="00A1680B">
      <w:pPr>
        <w:pStyle w:val="Quote1"/>
        <w:tabs>
          <w:tab w:val="left" w:pos="3119"/>
          <w:tab w:val="left" w:pos="3686"/>
        </w:tabs>
        <w:ind w:left="2552" w:hanging="681"/>
      </w:pPr>
      <w:r>
        <w:t>(</w:t>
      </w:r>
      <w:r w:rsidR="00094DCD" w:rsidRPr="003D5C0F">
        <w:t>Emphasis added</w:t>
      </w:r>
      <w:r>
        <w:t>).</w:t>
      </w:r>
    </w:p>
    <w:p w14:paraId="1C6D479E" w14:textId="02CBD2A1" w:rsidR="00094DCD" w:rsidRPr="003D5C0F" w:rsidRDefault="00094DCD" w:rsidP="00094DCD">
      <w:pPr>
        <w:pStyle w:val="Heading1"/>
      </w:pPr>
      <w:r w:rsidRPr="003D5C0F">
        <w:t xml:space="preserve">Counsel for the respondent referred me to the </w:t>
      </w:r>
      <w:r w:rsidR="006A3FCF">
        <w:t>S</w:t>
      </w:r>
      <w:r w:rsidRPr="003D5C0F">
        <w:t xml:space="preserve">econd </w:t>
      </w:r>
      <w:r w:rsidR="006A3FCF">
        <w:t>R</w:t>
      </w:r>
      <w:r w:rsidRPr="003D5C0F">
        <w:t xml:space="preserve">eading </w:t>
      </w:r>
      <w:r w:rsidR="006A3FCF">
        <w:t>S</w:t>
      </w:r>
      <w:r w:rsidRPr="003D5C0F">
        <w:t xml:space="preserve">peech of the </w:t>
      </w:r>
      <w:r w:rsidRPr="00BF7EA3">
        <w:t>Criminal Organisations Control and Other Acts Amendment Bill</w:t>
      </w:r>
      <w:r w:rsidRPr="003D5C0F">
        <w:rPr>
          <w:i/>
        </w:rPr>
        <w:t xml:space="preserve"> </w:t>
      </w:r>
      <w:r w:rsidRPr="00BF7EA3">
        <w:t xml:space="preserve">2014 </w:t>
      </w:r>
      <w:r w:rsidRPr="003D5C0F">
        <w:t>by the then Attorney-General which explained the purpose of the addition of the word “undue”</w:t>
      </w:r>
      <w:r w:rsidR="003A627E" w:rsidRPr="003D5C0F">
        <w:t>,</w:t>
      </w:r>
      <w:r w:rsidRPr="003D5C0F">
        <w:t xml:space="preserve"> qualifying the word “hardship” found in s45(1)</w:t>
      </w:r>
      <w:r w:rsidR="003A627E" w:rsidRPr="003D5C0F">
        <w:t>,</w:t>
      </w:r>
      <w:r w:rsidRPr="003D5C0F">
        <w:t xml:space="preserve"> thus:</w:t>
      </w:r>
    </w:p>
    <w:p w14:paraId="27612C7A" w14:textId="7EC1FA49" w:rsidR="00094DCD" w:rsidRPr="003D5C0F" w:rsidRDefault="00094DCD" w:rsidP="00025B03">
      <w:pPr>
        <w:pStyle w:val="Quote1"/>
      </w:pPr>
      <w:r w:rsidRPr="003D5C0F">
        <w:t xml:space="preserve">“The bill will also amend provisions in the Confiscation Act that allow persons to seek relief from the hardship caused by the forfeiture of property. </w:t>
      </w:r>
      <w:r w:rsidR="00575763">
        <w:t xml:space="preserve"> </w:t>
      </w:r>
      <w:r w:rsidRPr="003D5C0F">
        <w:t xml:space="preserve">Currently the Compensation Act allows a person (such as a dependent spouse or child) who might suffer hardship due to the forfeiture of property to seek a payment out of the forfeited property to relieve such hardship. </w:t>
      </w:r>
      <w:r w:rsidR="00575763">
        <w:t xml:space="preserve"> </w:t>
      </w:r>
      <w:r w:rsidRPr="003D5C0F">
        <w:t xml:space="preserve">The amendments will clarify that in considering this question, the court should have regard to the level of undue hardship caused by the forfeiture that is hardship above and beyond the ordinary hardship that can be expected to occur as a result of the forfeiture of assets. </w:t>
      </w:r>
      <w:r w:rsidR="00575763">
        <w:t xml:space="preserve"> </w:t>
      </w:r>
      <w:r w:rsidRPr="003D5C0F">
        <w:t xml:space="preserve">These amendments will ensure that the provisions operate as intended - that a person is not left destitute as a result of asset forfeiture, rather than </w:t>
      </w:r>
      <w:r w:rsidRPr="003D5C0F">
        <w:lastRenderedPageBreak/>
        <w:t>restoring a person to the circumstances that existed prior to forfeiture.”</w:t>
      </w:r>
      <w:r w:rsidRPr="003D5C0F">
        <w:rPr>
          <w:vertAlign w:val="superscript"/>
        </w:rPr>
        <w:footnoteReference w:id="4"/>
      </w:r>
    </w:p>
    <w:p w14:paraId="55F40103" w14:textId="605C1891" w:rsidR="00094DCD" w:rsidRPr="003D5C0F" w:rsidRDefault="00094DCD" w:rsidP="00094DCD">
      <w:pPr>
        <w:pStyle w:val="Heading1"/>
      </w:pPr>
      <w:r w:rsidRPr="003D5C0F">
        <w:t xml:space="preserve">Of course, the scheme established by the </w:t>
      </w:r>
      <w:r w:rsidRPr="003D5C0F">
        <w:rPr>
          <w:i/>
        </w:rPr>
        <w:t>Confiscation Act</w:t>
      </w:r>
      <w:r w:rsidRPr="003D5C0F">
        <w:t xml:space="preserve"> is given its proper context by the objects stated in s3A</w:t>
      </w:r>
      <w:r w:rsidR="0050105F">
        <w:t>,</w:t>
      </w:r>
      <w:r w:rsidRPr="003D5C0F">
        <w:t xml:space="preserve"> which are:</w:t>
      </w:r>
    </w:p>
    <w:p w14:paraId="0CD7AEE1" w14:textId="482767B7" w:rsidR="00094DCD" w:rsidRPr="003D5C0F" w:rsidRDefault="00094DCD" w:rsidP="00025B03">
      <w:pPr>
        <w:pStyle w:val="Quote1"/>
      </w:pPr>
      <w:r w:rsidRPr="003D5C0F">
        <w:t>“The main objects of this Act are</w:t>
      </w:r>
      <w:r w:rsidR="0050105F" w:rsidRPr="00152F7C">
        <w:t>—</w:t>
      </w:r>
    </w:p>
    <w:p w14:paraId="495C9899" w14:textId="29412C13" w:rsidR="00094DCD" w:rsidRPr="00BF7EA3" w:rsidRDefault="00094DCD" w:rsidP="00BF7EA3">
      <w:pPr>
        <w:pStyle w:val="Quote1"/>
        <w:tabs>
          <w:tab w:val="left" w:pos="2552"/>
        </w:tabs>
        <w:ind w:left="2552" w:hanging="681"/>
      </w:pPr>
      <w:r w:rsidRPr="00BF7EA3">
        <w:t>(a)</w:t>
      </w:r>
      <w:r w:rsidR="00025B03" w:rsidRPr="00BF7EA3">
        <w:t xml:space="preserve"> </w:t>
      </w:r>
      <w:r w:rsidR="0050105F">
        <w:tab/>
      </w:r>
      <w:r w:rsidRPr="00BF7EA3">
        <w:t>to deprive persons of the proceeds of certain offences and of tainted property; and</w:t>
      </w:r>
    </w:p>
    <w:p w14:paraId="0056FB87" w14:textId="77777777" w:rsidR="00094DCD" w:rsidRPr="00BF7EA3" w:rsidRDefault="00094DCD" w:rsidP="00BF7EA3">
      <w:pPr>
        <w:pStyle w:val="Quote1"/>
        <w:tabs>
          <w:tab w:val="left" w:pos="2552"/>
        </w:tabs>
        <w:ind w:left="2552" w:hanging="681"/>
      </w:pPr>
      <w:r w:rsidRPr="00BF7EA3">
        <w:t>(b)</w:t>
      </w:r>
      <w:r w:rsidRPr="00BF7EA3">
        <w:tab/>
        <w:t>to deter persons from engaging in criminal activity; and</w:t>
      </w:r>
    </w:p>
    <w:p w14:paraId="23FC2AA2" w14:textId="77777777" w:rsidR="00094DCD" w:rsidRPr="00BF7EA3" w:rsidRDefault="00094DCD" w:rsidP="00BF7EA3">
      <w:pPr>
        <w:pStyle w:val="Quote1"/>
        <w:tabs>
          <w:tab w:val="left" w:pos="2552"/>
        </w:tabs>
        <w:ind w:left="2552" w:hanging="681"/>
      </w:pPr>
      <w:r w:rsidRPr="00BF7EA3">
        <w:t>(c)</w:t>
      </w:r>
      <w:r w:rsidRPr="00BF7EA3">
        <w:tab/>
        <w:t>to disrupt criminal activity by preventing the use of tainted property in further criminal activity; and</w:t>
      </w:r>
    </w:p>
    <w:p w14:paraId="1BFC525C" w14:textId="77777777" w:rsidR="00094DCD" w:rsidRPr="00BF7EA3" w:rsidRDefault="00094DCD" w:rsidP="00BF7EA3">
      <w:pPr>
        <w:pStyle w:val="Quote1"/>
        <w:tabs>
          <w:tab w:val="left" w:pos="2552"/>
        </w:tabs>
        <w:ind w:left="2552" w:hanging="681"/>
      </w:pPr>
      <w:r w:rsidRPr="00BF7EA3">
        <w:t>(d)</w:t>
      </w:r>
      <w:r w:rsidRPr="00BF7EA3">
        <w:tab/>
        <w:t>to undermine the profitability of serious criminal activity.”</w:t>
      </w:r>
    </w:p>
    <w:p w14:paraId="39F05C8D" w14:textId="2AC2BDAF" w:rsidR="00094DCD" w:rsidRPr="003D5C0F" w:rsidRDefault="00094DCD" w:rsidP="00094DCD">
      <w:pPr>
        <w:pStyle w:val="Heading1"/>
      </w:pPr>
      <w:r w:rsidRPr="003D5C0F">
        <w:t>It is with this background that I must now consider what the qualifying word “undue” is intended to achieve, and also the addition of s</w:t>
      </w:r>
      <w:r w:rsidR="0050105F">
        <w:t>s</w:t>
      </w:r>
      <w:r w:rsidRPr="003D5C0F">
        <w:t>(1A) which obliges me to ignore the sentence imposed on the applicant.</w:t>
      </w:r>
    </w:p>
    <w:p w14:paraId="551B71DA" w14:textId="653A0AAB" w:rsidR="00094DCD" w:rsidRPr="003D5C0F" w:rsidRDefault="003A627E" w:rsidP="00BF7EA3">
      <w:pPr>
        <w:pStyle w:val="Heading10"/>
      </w:pPr>
      <w:r w:rsidRPr="003D5C0F">
        <w:t>The authorities before the a</w:t>
      </w:r>
      <w:r w:rsidR="00094DCD" w:rsidRPr="003D5C0F">
        <w:t>mendment</w:t>
      </w:r>
    </w:p>
    <w:p w14:paraId="18EB8FDD" w14:textId="6F77757B" w:rsidR="00094DCD" w:rsidRPr="003D5C0F" w:rsidRDefault="00094DCD" w:rsidP="00094DCD">
      <w:pPr>
        <w:pStyle w:val="Heading1"/>
      </w:pPr>
      <w:r w:rsidRPr="003D5C0F">
        <w:t xml:space="preserve">I think the starting point is to recognise that the forfeiture provisions of the </w:t>
      </w:r>
      <w:r w:rsidRPr="003D5C0F">
        <w:rPr>
          <w:i/>
        </w:rPr>
        <w:t>Confiscation Act</w:t>
      </w:r>
      <w:r w:rsidRPr="003D5C0F">
        <w:t xml:space="preserve"> are intended to result in a measure of hardship. </w:t>
      </w:r>
      <w:r w:rsidR="00F7029A">
        <w:t xml:space="preserve"> </w:t>
      </w:r>
      <w:r w:rsidRPr="003D5C0F">
        <w:t xml:space="preserve">In </w:t>
      </w:r>
      <w:r w:rsidRPr="003D5C0F">
        <w:rPr>
          <w:i/>
        </w:rPr>
        <w:t>Lake v R</w:t>
      </w:r>
      <w:r w:rsidR="00F7029A">
        <w:t>,</w:t>
      </w:r>
      <w:r w:rsidR="00F7029A">
        <w:rPr>
          <w:rStyle w:val="FootnoteReference"/>
        </w:rPr>
        <w:footnoteReference w:id="5"/>
      </w:r>
      <w:r w:rsidRPr="003D5C0F">
        <w:t xml:space="preserve"> Kirby P (as he then was) said</w:t>
      </w:r>
      <w:r w:rsidR="00E56D42" w:rsidRPr="003D5C0F">
        <w:t xml:space="preserve"> </w:t>
      </w:r>
      <w:r w:rsidRPr="003D5C0F">
        <w:t xml:space="preserve">as much when considering the question of hardship under the </w:t>
      </w:r>
      <w:r w:rsidRPr="003D5C0F">
        <w:rPr>
          <w:i/>
        </w:rPr>
        <w:t>Crimes (Confiscation of Profits) Act 1985</w:t>
      </w:r>
      <w:r w:rsidRPr="003D5C0F">
        <w:t xml:space="preserve"> (NSW):</w:t>
      </w:r>
    </w:p>
    <w:p w14:paraId="1FFAD8B2" w14:textId="1CBB7B99" w:rsidR="00094DCD" w:rsidRPr="003D5C0F" w:rsidRDefault="00094DCD" w:rsidP="00025B03">
      <w:pPr>
        <w:pStyle w:val="Quote1"/>
      </w:pPr>
      <w:r w:rsidRPr="003D5C0F">
        <w:t>“</w:t>
      </w:r>
      <w:r w:rsidR="00F7029A">
        <w:t xml:space="preserve">… </w:t>
      </w:r>
      <w:r w:rsidRPr="003D5C0F">
        <w:t xml:space="preserve">In considering hardship, it is necessary to bear in mind that, of necessity, in achieving its objects, the Act will cause a measure of hardship in the deprivation of property. Indeed that is its intention. It is not that kind of hardship, therefore, that can give </w:t>
      </w:r>
      <w:r w:rsidR="00E56D42" w:rsidRPr="003D5C0F">
        <w:t>rise to the relief under s5(1)(b)</w:t>
      </w:r>
      <w:r w:rsidRPr="003D5C0F">
        <w:t xml:space="preserve">(ii). The provision for relief on that ground must </w:t>
      </w:r>
      <w:r w:rsidR="00BE1F19" w:rsidRPr="003D5C0F">
        <w:t xml:space="preserve">not </w:t>
      </w:r>
      <w:r w:rsidRPr="003D5C0F">
        <w:t xml:space="preserve">be so interpreted as to frustrate the achieving of the purpose of </w:t>
      </w:r>
      <w:r w:rsidR="00BE1F19" w:rsidRPr="003D5C0F">
        <w:t>Parliament</w:t>
      </w:r>
      <w:r w:rsidRPr="003D5C0F">
        <w:t xml:space="preserve"> in enacting the exceptional provisions of the Act. Something more than ordinary hardship </w:t>
      </w:r>
      <w:r w:rsidR="00BE1F19" w:rsidRPr="003D5C0F">
        <w:t>i</w:t>
      </w:r>
      <w:r w:rsidRPr="003D5C0F">
        <w:t xml:space="preserve">n the operation of the Act is therefore meant. Otherwise the </w:t>
      </w:r>
      <w:r w:rsidR="00F7029A">
        <w:t>A</w:t>
      </w:r>
      <w:r w:rsidRPr="003D5C0F">
        <w:t>ct would have, within it, the seeds of its own effectiveness in every case.”</w:t>
      </w:r>
      <w:r w:rsidRPr="003D5C0F">
        <w:rPr>
          <w:vertAlign w:val="superscript"/>
        </w:rPr>
        <w:footnoteReference w:id="6"/>
      </w:r>
    </w:p>
    <w:p w14:paraId="7557DC1C" w14:textId="047FF59F" w:rsidR="00094DCD" w:rsidRPr="003D5C0F" w:rsidRDefault="00094DCD" w:rsidP="00094DCD">
      <w:pPr>
        <w:pStyle w:val="Heading1"/>
      </w:pPr>
      <w:r w:rsidRPr="003D5C0F">
        <w:t xml:space="preserve">In </w:t>
      </w:r>
      <w:r w:rsidR="008878CA" w:rsidRPr="00575763">
        <w:rPr>
          <w:i/>
        </w:rPr>
        <w:t>R v</w:t>
      </w:r>
      <w:r w:rsidR="008878CA">
        <w:t xml:space="preserve"> </w:t>
      </w:r>
      <w:r w:rsidRPr="003D5C0F">
        <w:rPr>
          <w:i/>
        </w:rPr>
        <w:t>Winand</w:t>
      </w:r>
      <w:r w:rsidR="0050105F">
        <w:t>,</w:t>
      </w:r>
      <w:r w:rsidRPr="003D5C0F">
        <w:rPr>
          <w:vertAlign w:val="superscript"/>
        </w:rPr>
        <w:footnoteReference w:id="7"/>
      </w:r>
      <w:r w:rsidRPr="003D5C0F">
        <w:t xml:space="preserve"> the </w:t>
      </w:r>
      <w:r w:rsidR="008878CA">
        <w:t xml:space="preserve">Victorian </w:t>
      </w:r>
      <w:r w:rsidRPr="003D5C0F">
        <w:t xml:space="preserve">Court of Criminal Appeal referred to the considerations which are relevant in determining whether property should be </w:t>
      </w:r>
      <w:r w:rsidRPr="003D5C0F">
        <w:lastRenderedPageBreak/>
        <w:t>excluded from the operation of an order for forfeiture:</w:t>
      </w:r>
    </w:p>
    <w:p w14:paraId="46A407E5" w14:textId="7FB537EF" w:rsidR="00094DCD" w:rsidRPr="003D5C0F" w:rsidRDefault="00094DCD" w:rsidP="005526C1">
      <w:pPr>
        <w:pStyle w:val="Quote1"/>
      </w:pPr>
      <w:r w:rsidRPr="003D5C0F">
        <w:t>“… the value of the subject property, the nature and gravity of the offence, the use made of the property, the degree of the offender</w:t>
      </w:r>
      <w:r w:rsidR="001E2C81" w:rsidRPr="003D5C0F">
        <w:t>’</w:t>
      </w:r>
      <w:r w:rsidRPr="003D5C0F">
        <w:t>s involvement, the offender</w:t>
      </w:r>
      <w:r w:rsidR="001E2C81" w:rsidRPr="003D5C0F">
        <w:t>’</w:t>
      </w:r>
      <w:r w:rsidRPr="003D5C0F">
        <w:t>s antecedents, the value of any other property confiscated and the penalty imposed, the nature of the offender</w:t>
      </w:r>
      <w:r w:rsidR="001E2C81" w:rsidRPr="003D5C0F">
        <w:t>’</w:t>
      </w:r>
      <w:r w:rsidRPr="003D5C0F">
        <w:t xml:space="preserve">s interest in the property, the value of the drugs involved or the size of the crop, whether the property was acquired with the proceeds of the sale of drugs, the utility of the property to the offender, the length of ownership of the property, the extent to which the property was connected with the commission of the offence, the fact that forfeiture is intended as a deterrent, the interest of innocent parties </w:t>
      </w:r>
      <w:r w:rsidR="008878CA">
        <w:t>i</w:t>
      </w:r>
      <w:r w:rsidRPr="003D5C0F">
        <w:t xml:space="preserve">n the property and the extent (if any) to which </w:t>
      </w:r>
      <w:r w:rsidR="008878CA">
        <w:t xml:space="preserve">the </w:t>
      </w:r>
      <w:r w:rsidRPr="003D5C0F">
        <w:t>retention of the property might bear on the offender’s rehabilitation.”</w:t>
      </w:r>
      <w:r w:rsidRPr="003D5C0F">
        <w:rPr>
          <w:vertAlign w:val="superscript"/>
        </w:rPr>
        <w:footnoteReference w:id="8"/>
      </w:r>
    </w:p>
    <w:p w14:paraId="1DCFC16C" w14:textId="78DEB4FC" w:rsidR="00094DCD" w:rsidRPr="003D5C0F" w:rsidRDefault="00B678A5" w:rsidP="00BF7EA3">
      <w:pPr>
        <w:pStyle w:val="Heading10"/>
      </w:pPr>
      <w:r w:rsidRPr="003D5C0F">
        <w:t>The t</w:t>
      </w:r>
      <w:r w:rsidR="00094DCD" w:rsidRPr="003D5C0F">
        <w:t xml:space="preserve">est </w:t>
      </w:r>
      <w:r w:rsidR="00AE13F4" w:rsidRPr="003D5C0F">
        <w:t>p</w:t>
      </w:r>
      <w:r w:rsidRPr="003D5C0F">
        <w:t>ost</w:t>
      </w:r>
      <w:r w:rsidR="00094DCD" w:rsidRPr="003D5C0F">
        <w:t xml:space="preserve"> </w:t>
      </w:r>
      <w:r w:rsidRPr="003D5C0F">
        <w:t xml:space="preserve">the </w:t>
      </w:r>
      <w:r w:rsidR="00AE13F4" w:rsidRPr="003D5C0F">
        <w:t>a</w:t>
      </w:r>
      <w:r w:rsidRPr="003D5C0F">
        <w:t>mendment</w:t>
      </w:r>
    </w:p>
    <w:p w14:paraId="463C0EEC" w14:textId="0772C4FA" w:rsidR="00094DCD" w:rsidRPr="003D5C0F" w:rsidRDefault="009B570E" w:rsidP="00094DCD">
      <w:pPr>
        <w:pStyle w:val="Heading1"/>
      </w:pPr>
      <w:r w:rsidRPr="003D5C0F">
        <w:t xml:space="preserve">Counsel for the applicant accepted that the word “undue” </w:t>
      </w:r>
      <w:r w:rsidR="00094DCD" w:rsidRPr="003D5C0F">
        <w:t xml:space="preserve">has altered the test applied in the cases which I have referred to. </w:t>
      </w:r>
      <w:r w:rsidR="000007F1">
        <w:t xml:space="preserve"> </w:t>
      </w:r>
      <w:r w:rsidR="00094DCD" w:rsidRPr="003D5C0F">
        <w:t>The question is to what extent.</w:t>
      </w:r>
    </w:p>
    <w:p w14:paraId="0915408A" w14:textId="01E58182" w:rsidR="00094DCD" w:rsidRPr="003D5C0F" w:rsidRDefault="00094DCD" w:rsidP="003F04DD">
      <w:pPr>
        <w:pStyle w:val="Heading1"/>
      </w:pPr>
      <w:r w:rsidRPr="003D5C0F">
        <w:t xml:space="preserve">Counsel for the respondent submitted that when </w:t>
      </w:r>
      <w:r w:rsidR="009B570E" w:rsidRPr="003D5C0F">
        <w:t>reference</w:t>
      </w:r>
      <w:r w:rsidRPr="003D5C0F">
        <w:t xml:space="preserve"> is had to the </w:t>
      </w:r>
      <w:r w:rsidR="000007F1">
        <w:t>S</w:t>
      </w:r>
      <w:r w:rsidRPr="003D5C0F">
        <w:t xml:space="preserve">econd </w:t>
      </w:r>
      <w:r w:rsidR="000007F1">
        <w:t>R</w:t>
      </w:r>
      <w:r w:rsidRPr="003D5C0F">
        <w:t xml:space="preserve">eading </w:t>
      </w:r>
      <w:r w:rsidR="000007F1">
        <w:t>S</w:t>
      </w:r>
      <w:r w:rsidRPr="003D5C0F">
        <w:t xml:space="preserve">peech and the current Macquarie </w:t>
      </w:r>
      <w:r w:rsidR="000007F1">
        <w:t>D</w:t>
      </w:r>
      <w:r w:rsidRPr="003D5C0F">
        <w:t>ictionary</w:t>
      </w:r>
      <w:r w:rsidR="004E0BC9" w:rsidRPr="003D5C0F">
        <w:t>,</w:t>
      </w:r>
      <w:r w:rsidRPr="003D5C0F">
        <w:t xml:space="preserve"> that a relevant definition of “undue” is</w:t>
      </w:r>
      <w:r w:rsidR="000007F1">
        <w:t xml:space="preserve"> </w:t>
      </w:r>
      <w:r w:rsidRPr="003D5C0F">
        <w:t xml:space="preserve">“unwarranted” or “excessive” or “too great”. </w:t>
      </w:r>
      <w:r w:rsidR="000007F1">
        <w:t xml:space="preserve"> </w:t>
      </w:r>
      <w:r w:rsidRPr="003D5C0F">
        <w:t xml:space="preserve">Other dictionary definitions use the same words of definition, and others I have found are “inappropriate”, “excessive” and “disproportionate”. </w:t>
      </w:r>
      <w:r w:rsidR="000007F1">
        <w:t xml:space="preserve"> </w:t>
      </w:r>
      <w:r w:rsidRPr="003D5C0F">
        <w:t xml:space="preserve">These synonyms at least give flavour to the meaning of “undue”. </w:t>
      </w:r>
      <w:r w:rsidR="000007F1">
        <w:t xml:space="preserve"> </w:t>
      </w:r>
      <w:r w:rsidRPr="003D5C0F">
        <w:t xml:space="preserve">What is clear, in general terms, is </w:t>
      </w:r>
      <w:r w:rsidR="0028172F" w:rsidRPr="003D5C0F">
        <w:t xml:space="preserve">what </w:t>
      </w:r>
      <w:r w:rsidRPr="003D5C0F">
        <w:t>the legislature intended is for the applicant to demonstrate that an order for forfeiture will result in something more than hardship.</w:t>
      </w:r>
    </w:p>
    <w:p w14:paraId="0F59A895" w14:textId="3436FD08" w:rsidR="00094DCD" w:rsidRPr="003D5C0F" w:rsidRDefault="00094DCD" w:rsidP="00094DCD">
      <w:pPr>
        <w:pStyle w:val="Heading1"/>
      </w:pPr>
      <w:r w:rsidRPr="003D5C0F">
        <w:t>I should add at this point that whilst there is an attraction to finding synonyms which aid in giving the flavour to the meaning of “undue”, caution must be exercised in not applying the words of interpretation for the actual test.</w:t>
      </w:r>
      <w:r w:rsidR="000007F1">
        <w:t xml:space="preserve"> </w:t>
      </w:r>
      <w:r w:rsidRPr="003D5C0F">
        <w:t xml:space="preserve"> The test is plainly whether forfeiture of the applicant’s interest in the property would result in undue hardship.</w:t>
      </w:r>
    </w:p>
    <w:p w14:paraId="7DA50350" w14:textId="7B85D24F" w:rsidR="00094DCD" w:rsidRPr="003D5C0F" w:rsidRDefault="00094DCD" w:rsidP="00094DCD">
      <w:pPr>
        <w:pStyle w:val="Heading1"/>
      </w:pPr>
      <w:r w:rsidRPr="003D5C0F">
        <w:t xml:space="preserve">Interestingly, in </w:t>
      </w:r>
      <w:r w:rsidRPr="003D5C0F">
        <w:rPr>
          <w:i/>
        </w:rPr>
        <w:t>Winand</w:t>
      </w:r>
      <w:r w:rsidR="000007F1">
        <w:t>,</w:t>
      </w:r>
      <w:r w:rsidRPr="003D5C0F">
        <w:t xml:space="preserve"> the Court of Criminal </w:t>
      </w:r>
      <w:r w:rsidR="0028172F" w:rsidRPr="003D5C0F">
        <w:t>A</w:t>
      </w:r>
      <w:r w:rsidRPr="003D5C0F">
        <w:t xml:space="preserve">ppeal declined to make a forfeiture order. </w:t>
      </w:r>
      <w:r w:rsidR="000007F1">
        <w:t xml:space="preserve"> </w:t>
      </w:r>
      <w:r w:rsidRPr="003D5C0F">
        <w:t xml:space="preserve">It would appear that the Court was partially influenced by the </w:t>
      </w:r>
      <w:r w:rsidRPr="003D5C0F">
        <w:lastRenderedPageBreak/>
        <w:t xml:space="preserve">trial judge’s impression that the appellant’s trafficking of a drug of dependence would have attracted a much greater sentence had it been heard in the County Court than the sentence actually imposed in the Magistrates’ Court. </w:t>
      </w:r>
      <w:r w:rsidR="000007F1">
        <w:t xml:space="preserve"> </w:t>
      </w:r>
      <w:r w:rsidRPr="003D5C0F">
        <w:t>Keeping that in mind</w:t>
      </w:r>
      <w:r w:rsidR="000007F1">
        <w:t>,</w:t>
      </w:r>
      <w:r w:rsidRPr="003D5C0F">
        <w:t xml:space="preserve"> the observations of the Court which are of interest here are as follows:</w:t>
      </w:r>
    </w:p>
    <w:p w14:paraId="3E7D1431" w14:textId="68D10D6D" w:rsidR="00094DCD" w:rsidRPr="003D5C0F" w:rsidRDefault="00094DCD" w:rsidP="002B00C1">
      <w:pPr>
        <w:pStyle w:val="Quote1"/>
      </w:pPr>
      <w:r w:rsidRPr="003D5C0F">
        <w:t xml:space="preserve">“On the different view we take of this matter namely, the characterisation of the penalty imposed, we are left in no doubt that by reason of such error the making of an order did, to an unacceptable degree, operate disproportionately to the nature and gravity of the offence. </w:t>
      </w:r>
      <w:r w:rsidR="002667AE" w:rsidRPr="003D5C0F">
        <w:t>To order</w:t>
      </w:r>
      <w:r w:rsidRPr="003D5C0F">
        <w:t xml:space="preserve"> the taking from the appellant of his only asset of any significant value and which is his home the equity in which is worth $65</w:t>
      </w:r>
      <w:r w:rsidR="000007F1">
        <w:t>,</w:t>
      </w:r>
      <w:r w:rsidRPr="003D5C0F">
        <w:t>000-$75</w:t>
      </w:r>
      <w:r w:rsidR="000007F1">
        <w:t>,</w:t>
      </w:r>
      <w:r w:rsidRPr="003D5C0F">
        <w:t>000 is in all the circumstances of this case to make an order which would cause unacceptable hardship and thus we believe to be manifestly unfair.”</w:t>
      </w:r>
      <w:r w:rsidRPr="003D5C0F">
        <w:rPr>
          <w:vertAlign w:val="superscript"/>
        </w:rPr>
        <w:footnoteReference w:id="9"/>
      </w:r>
    </w:p>
    <w:p w14:paraId="5F7C66A7" w14:textId="77777777" w:rsidR="00094DCD" w:rsidRPr="003D5C0F" w:rsidRDefault="00094DCD" w:rsidP="00094DCD">
      <w:pPr>
        <w:pStyle w:val="Heading1"/>
      </w:pPr>
      <w:r w:rsidRPr="003D5C0F">
        <w:t>Chief Justice Warren applied the</w:t>
      </w:r>
      <w:r w:rsidR="00A733D3" w:rsidRPr="003D5C0F">
        <w:t xml:space="preserve"> </w:t>
      </w:r>
      <w:r w:rsidRPr="003D5C0F">
        <w:t xml:space="preserve">same words of interpretation of hardship in </w:t>
      </w:r>
      <w:r w:rsidRPr="003D5C0F">
        <w:rPr>
          <w:i/>
        </w:rPr>
        <w:t>Tran</w:t>
      </w:r>
      <w:r w:rsidRPr="003D5C0F">
        <w:t>:</w:t>
      </w:r>
    </w:p>
    <w:p w14:paraId="427B001E" w14:textId="56265D53" w:rsidR="00094DCD" w:rsidRPr="003D5C0F" w:rsidRDefault="00094DCD" w:rsidP="005A54D4">
      <w:pPr>
        <w:pStyle w:val="Quote1"/>
      </w:pPr>
      <w:r w:rsidRPr="003D5C0F">
        <w:t xml:space="preserve">“Weighing these and other matters up, as distilled in </w:t>
      </w:r>
      <w:r w:rsidRPr="003D5C0F">
        <w:rPr>
          <w:i/>
        </w:rPr>
        <w:t>Winand</w:t>
      </w:r>
      <w:r w:rsidRPr="003D5C0F">
        <w:t xml:space="preserve">, I cannot be satisfied that it is appropriate to make the orders sought. However, the most significant factor in this case is the extent of hardship to the defendant. He would be rendered, as it was put on his behalf, </w:t>
      </w:r>
      <w:r w:rsidR="00AB0AF8">
        <w:t>‘</w:t>
      </w:r>
      <w:r w:rsidRPr="003D5C0F">
        <w:t>homeless</w:t>
      </w:r>
      <w:r w:rsidR="00AB0AF8">
        <w:t>’</w:t>
      </w:r>
      <w:r w:rsidRPr="003D5C0F">
        <w:t xml:space="preserve">. I cannot be satisfied, in particular weighing up the factors of deterrence, impact on innocent parties and the defendant’s rehabilitation, that the order should be made. I consider that, in the circumstances of this matter, the making </w:t>
      </w:r>
      <w:r w:rsidR="00AD6BD4" w:rsidRPr="003D5C0F">
        <w:t xml:space="preserve">of </w:t>
      </w:r>
      <w:r w:rsidRPr="003D5C0F">
        <w:t xml:space="preserve">the order would cause, in the words of the Court of Appeal in </w:t>
      </w:r>
      <w:r w:rsidRPr="003D5C0F">
        <w:rPr>
          <w:i/>
        </w:rPr>
        <w:t>Winand</w:t>
      </w:r>
      <w:r w:rsidRPr="003D5C0F">
        <w:t xml:space="preserve"> </w:t>
      </w:r>
      <w:r w:rsidR="00AB0AF8">
        <w:t>‘</w:t>
      </w:r>
      <w:r w:rsidRPr="003D5C0F">
        <w:t>… unacceptable hardship and… be manifestly unfair</w:t>
      </w:r>
      <w:r w:rsidR="00AB0AF8">
        <w:t>’</w:t>
      </w:r>
      <w:r w:rsidRPr="003D5C0F">
        <w:t>.”</w:t>
      </w:r>
      <w:r w:rsidRPr="003D5C0F">
        <w:rPr>
          <w:vertAlign w:val="superscript"/>
        </w:rPr>
        <w:footnoteReference w:id="10"/>
      </w:r>
    </w:p>
    <w:p w14:paraId="03C04483" w14:textId="58467978" w:rsidR="00094DCD" w:rsidRPr="003D5C0F" w:rsidRDefault="00094DCD" w:rsidP="00094DCD">
      <w:pPr>
        <w:pStyle w:val="Heading1"/>
      </w:pPr>
      <w:r w:rsidRPr="003D5C0F">
        <w:t xml:space="preserve">Where these observations are of interest and become relevant are because of the use of the words “unacceptable”, “disproportionate” (referring to the nature and gravity of the offence) and “manifestly unfair” to demonstrate that the result of an order for forfeiture was more than what was contemplated by the test of hardship. </w:t>
      </w:r>
      <w:r w:rsidR="00AB0AF8">
        <w:t xml:space="preserve"> </w:t>
      </w:r>
      <w:r w:rsidRPr="003D5C0F">
        <w:t>Those particular words are consistent with the words of interpretation to which counsel for the respondent referred me to in the assistance he gave me to arrive at what the legislature intended by the addition of the qualifying word “undue”.</w:t>
      </w:r>
      <w:r w:rsidRPr="003D5C0F">
        <w:rPr>
          <w:vertAlign w:val="superscript"/>
        </w:rPr>
        <w:footnoteReference w:id="11"/>
      </w:r>
    </w:p>
    <w:p w14:paraId="0210FF41" w14:textId="55650F94" w:rsidR="00094DCD" w:rsidRPr="003D5C0F" w:rsidRDefault="00094DCD" w:rsidP="00094DCD">
      <w:pPr>
        <w:pStyle w:val="Heading1"/>
      </w:pPr>
      <w:r w:rsidRPr="003D5C0F">
        <w:lastRenderedPageBreak/>
        <w:t>I can readily appreciate that the entire loss of an asset</w:t>
      </w:r>
      <w:r w:rsidR="00F90529" w:rsidRPr="003D5C0F">
        <w:t>,</w:t>
      </w:r>
      <w:r w:rsidRPr="003D5C0F">
        <w:t xml:space="preserve"> such as a home</w:t>
      </w:r>
      <w:r w:rsidR="00F90529" w:rsidRPr="003D5C0F">
        <w:t>,</w:t>
      </w:r>
      <w:r w:rsidRPr="003D5C0F">
        <w:t xml:space="preserve"> rendering someone homeless</w:t>
      </w:r>
      <w:r w:rsidR="00493A22" w:rsidRPr="003D5C0F">
        <w:t>,</w:t>
      </w:r>
      <w:r w:rsidRPr="003D5C0F">
        <w:t xml:space="preserve"> could be characterised </w:t>
      </w:r>
      <w:r w:rsidR="00493A22" w:rsidRPr="003D5C0F">
        <w:t xml:space="preserve">as being beyond “hardship”. </w:t>
      </w:r>
      <w:r w:rsidR="002A6784">
        <w:t xml:space="preserve"> </w:t>
      </w:r>
      <w:r w:rsidR="00493A22" w:rsidRPr="003D5C0F">
        <w:t>A</w:t>
      </w:r>
      <w:r w:rsidRPr="003D5C0F">
        <w:t xml:space="preserve">lthough, I do not read these authorities as creating a hard and fast rule that homelessness or being rendered penniless necessarily equate with undue hardship. </w:t>
      </w:r>
      <w:r w:rsidR="002A6784">
        <w:t xml:space="preserve"> </w:t>
      </w:r>
      <w:r w:rsidRPr="003D5C0F">
        <w:t>No doubt much will depend upon the individual circumstances of each case in weighing up competing considerations.</w:t>
      </w:r>
    </w:p>
    <w:p w14:paraId="611D13CA" w14:textId="12365B74" w:rsidR="00094DCD" w:rsidRPr="003D5C0F" w:rsidRDefault="009B570E" w:rsidP="00094DCD">
      <w:pPr>
        <w:pStyle w:val="Heading1"/>
      </w:pPr>
      <w:r w:rsidRPr="003D5C0F">
        <w:t>I</w:t>
      </w:r>
      <w:r w:rsidR="00094DCD" w:rsidRPr="003D5C0F">
        <w:t xml:space="preserve">t would appear that a result of the kind referred to in </w:t>
      </w:r>
      <w:r w:rsidR="00094DCD" w:rsidRPr="003D5C0F">
        <w:rPr>
          <w:i/>
        </w:rPr>
        <w:t>Winand</w:t>
      </w:r>
      <w:r w:rsidR="00094DCD" w:rsidRPr="003D5C0F">
        <w:t xml:space="preserve"> and </w:t>
      </w:r>
      <w:r w:rsidR="00094DCD" w:rsidRPr="003D5C0F">
        <w:rPr>
          <w:i/>
        </w:rPr>
        <w:t>Tran</w:t>
      </w:r>
      <w:r w:rsidR="00094DCD" w:rsidRPr="003D5C0F">
        <w:t xml:space="preserve"> </w:t>
      </w:r>
      <w:r w:rsidR="002A6784">
        <w:t>is</w:t>
      </w:r>
      <w:r w:rsidR="00094DCD" w:rsidRPr="003D5C0F">
        <w:t xml:space="preserve"> toward the extreme end of the likely result of an order for forfeiture, and indeed, one which would be financially crushing. </w:t>
      </w:r>
      <w:r w:rsidR="002A6784">
        <w:t xml:space="preserve"> </w:t>
      </w:r>
      <w:r w:rsidR="00094DCD" w:rsidRPr="003D5C0F">
        <w:t xml:space="preserve">It stands as a matter of reason that something less than a result of that kind may not warrant the descriptors of the quality of the hardship which were used by the </w:t>
      </w:r>
      <w:r w:rsidR="002A6784">
        <w:t>c</w:t>
      </w:r>
      <w:r w:rsidR="00094DCD" w:rsidRPr="003D5C0F">
        <w:t>ourts in each of those cases.</w:t>
      </w:r>
    </w:p>
    <w:p w14:paraId="338D088C" w14:textId="105C25F1" w:rsidR="00094DCD" w:rsidRPr="003D5C0F" w:rsidRDefault="002D6D02" w:rsidP="00BF7EA3">
      <w:pPr>
        <w:pStyle w:val="Heading10"/>
      </w:pPr>
      <w:r w:rsidRPr="003D5C0F">
        <w:t>The applicant’s c</w:t>
      </w:r>
      <w:r w:rsidR="00094DCD" w:rsidRPr="003D5C0F">
        <w:t>ircumstances</w:t>
      </w:r>
    </w:p>
    <w:p w14:paraId="448DBD5F" w14:textId="77777777" w:rsidR="00094DCD" w:rsidRPr="003D5C0F" w:rsidRDefault="00094DCD" w:rsidP="00094DCD">
      <w:pPr>
        <w:pStyle w:val="Heading1"/>
      </w:pPr>
      <w:r w:rsidRPr="003D5C0F">
        <w:t xml:space="preserve">I should start by saying that I am not satisfied that the making of a forfeiture order in the circumstances of the applicant would amount to undue hardship. </w:t>
      </w:r>
    </w:p>
    <w:p w14:paraId="0CA6CF8A" w14:textId="7E20F4B2" w:rsidR="00094DCD" w:rsidRPr="003D5C0F" w:rsidRDefault="00094DCD" w:rsidP="00094DCD">
      <w:pPr>
        <w:pStyle w:val="Heading1"/>
      </w:pPr>
      <w:r w:rsidRPr="003D5C0F">
        <w:t>I will now set out the relevant facts which counsel for the applicant submitted I should weigh</w:t>
      </w:r>
      <w:r w:rsidR="009B570E" w:rsidRPr="003D5C0F">
        <w:t xml:space="preserve"> into account.</w:t>
      </w:r>
    </w:p>
    <w:p w14:paraId="7674956E" w14:textId="3D5A8699" w:rsidR="00094DCD" w:rsidRPr="003D5C0F" w:rsidRDefault="00094DCD" w:rsidP="00094DCD">
      <w:pPr>
        <w:pStyle w:val="Heading1"/>
      </w:pPr>
      <w:r w:rsidRPr="003D5C0F">
        <w:t xml:space="preserve">Firstly, I refer to </w:t>
      </w:r>
      <w:r w:rsidR="00BC0ADF" w:rsidRPr="003D5C0F">
        <w:t>my R</w:t>
      </w:r>
      <w:r w:rsidRPr="003D5C0F">
        <w:t>uling</w:t>
      </w:r>
      <w:r w:rsidR="00BC0ADF" w:rsidRPr="003D5C0F">
        <w:t xml:space="preserve"> of 17 March 2017,</w:t>
      </w:r>
      <w:r w:rsidRPr="003D5C0F">
        <w:t xml:space="preserve"> and in particular, paragraphs 2</w:t>
      </w:r>
      <w:r w:rsidR="002A6784">
        <w:t xml:space="preserve"> to </w:t>
      </w:r>
      <w:r w:rsidRPr="003D5C0F">
        <w:t>7</w:t>
      </w:r>
      <w:r w:rsidR="00583388" w:rsidRPr="003D5C0F">
        <w:t>,</w:t>
      </w:r>
      <w:r w:rsidRPr="003D5C0F">
        <w:t xml:space="preserve"> in which I summarised the prosecution case brought against the applicant. He had set up a sophisticated and extensive system to cultivate cannabis in the rooms at the property. </w:t>
      </w:r>
      <w:r w:rsidR="002A6784">
        <w:t xml:space="preserve"> </w:t>
      </w:r>
      <w:r w:rsidRPr="003D5C0F">
        <w:t xml:space="preserve">The gross weight of the cannabis plants was 37 kilograms, and the air dried weight was </w:t>
      </w:r>
      <w:r w:rsidR="002A6784">
        <w:t>5</w:t>
      </w:r>
      <w:r w:rsidRPr="003D5C0F">
        <w:t xml:space="preserve"> kilograms.</w:t>
      </w:r>
    </w:p>
    <w:p w14:paraId="719594EB" w14:textId="54EA7D70" w:rsidR="00094DCD" w:rsidRPr="003D5C0F" w:rsidRDefault="00094DCD" w:rsidP="00094DCD">
      <w:pPr>
        <w:pStyle w:val="Heading1"/>
      </w:pPr>
      <w:r w:rsidRPr="003D5C0F">
        <w:t xml:space="preserve">Secondly, the applicant is a married man who is </w:t>
      </w:r>
      <w:r w:rsidR="002A6784">
        <w:t>sixty-five</w:t>
      </w:r>
      <w:r w:rsidRPr="003D5C0F">
        <w:t xml:space="preserve"> years of age. </w:t>
      </w:r>
      <w:r w:rsidR="002A6784">
        <w:t xml:space="preserve"> </w:t>
      </w:r>
      <w:r w:rsidRPr="003D5C0F">
        <w:t xml:space="preserve">Neither he nor his wife follow any gainful occupation. </w:t>
      </w:r>
      <w:r w:rsidR="002A6784">
        <w:t xml:space="preserve"> </w:t>
      </w:r>
      <w:r w:rsidRPr="003D5C0F">
        <w:t xml:space="preserve">They are both </w:t>
      </w:r>
      <w:r w:rsidR="009B570E" w:rsidRPr="003D5C0F">
        <w:t>receiving</w:t>
      </w:r>
      <w:r w:rsidRPr="003D5C0F">
        <w:t xml:space="preserve"> Centrelink benefits.</w:t>
      </w:r>
    </w:p>
    <w:p w14:paraId="127EF43C" w14:textId="42DB1412" w:rsidR="00094DCD" w:rsidRPr="003D5C0F" w:rsidRDefault="00094DCD" w:rsidP="00094DCD">
      <w:pPr>
        <w:pStyle w:val="Heading1"/>
      </w:pPr>
      <w:r w:rsidRPr="003D5C0F">
        <w:t xml:space="preserve">Thirdly, the </w:t>
      </w:r>
      <w:r w:rsidR="00700178" w:rsidRPr="003D5C0F">
        <w:t xml:space="preserve">applicant </w:t>
      </w:r>
      <w:r w:rsidRPr="003D5C0F">
        <w:t xml:space="preserve">and his wife purchased the property </w:t>
      </w:r>
      <w:r w:rsidR="002A6784">
        <w:t>twenty-eight</w:t>
      </w:r>
      <w:r w:rsidRPr="003D5C0F">
        <w:t xml:space="preserve"> years ago.</w:t>
      </w:r>
      <w:r w:rsidR="002A6784">
        <w:t xml:space="preserve"> </w:t>
      </w:r>
      <w:r w:rsidRPr="003D5C0F">
        <w:t xml:space="preserve"> Its present gross value is $675,000. </w:t>
      </w:r>
      <w:r w:rsidR="002A6784">
        <w:t xml:space="preserve"> </w:t>
      </w:r>
      <w:r w:rsidRPr="003D5C0F">
        <w:t xml:space="preserve">It has a mortgage registered over it </w:t>
      </w:r>
      <w:r w:rsidRPr="003D5C0F">
        <w:lastRenderedPageBreak/>
        <w:t>to secure borrowings of approximately $250,000.</w:t>
      </w:r>
      <w:r w:rsidRPr="003D5C0F">
        <w:rPr>
          <w:vertAlign w:val="superscript"/>
        </w:rPr>
        <w:footnoteReference w:id="12"/>
      </w:r>
    </w:p>
    <w:p w14:paraId="2B6C54D3" w14:textId="6072D06E" w:rsidR="00094DCD" w:rsidRPr="003D5C0F" w:rsidRDefault="00094DCD" w:rsidP="00094DCD">
      <w:pPr>
        <w:pStyle w:val="Heading1"/>
      </w:pPr>
      <w:r w:rsidRPr="003D5C0F">
        <w:t xml:space="preserve">Fourthly, the </w:t>
      </w:r>
      <w:r w:rsidR="00C96C36" w:rsidRPr="003D5C0F">
        <w:t>applicant</w:t>
      </w:r>
      <w:r w:rsidR="00535BF7" w:rsidRPr="003D5C0F">
        <w:t xml:space="preserve"> </w:t>
      </w:r>
      <w:r w:rsidRPr="003D5C0F">
        <w:t>and his wife have no other assets of any significance.</w:t>
      </w:r>
    </w:p>
    <w:p w14:paraId="75FEF0E0" w14:textId="76956FE0" w:rsidR="00094DCD" w:rsidRPr="003D5C0F" w:rsidRDefault="00094DCD" w:rsidP="00094DCD">
      <w:pPr>
        <w:pStyle w:val="Heading1"/>
      </w:pPr>
      <w:r w:rsidRPr="003D5C0F">
        <w:t xml:space="preserve">No evidence was adduced by the applicant which demonstrates that if an order </w:t>
      </w:r>
      <w:r w:rsidR="00CE2615">
        <w:t xml:space="preserve">was made </w:t>
      </w:r>
      <w:r w:rsidRPr="003D5C0F">
        <w:t>for forfeiture</w:t>
      </w:r>
      <w:r w:rsidR="00CE2615">
        <w:t>,</w:t>
      </w:r>
      <w:r w:rsidRPr="003D5C0F">
        <w:t xml:space="preserve"> resulting in a loss of his half share of the net equity in the property</w:t>
      </w:r>
      <w:r w:rsidR="00CE2615">
        <w:t>,</w:t>
      </w:r>
      <w:r w:rsidRPr="003D5C0F">
        <w:t xml:space="preserve"> that he will be rendered homeless or penniless. </w:t>
      </w:r>
      <w:r w:rsidR="00CE2615">
        <w:t xml:space="preserve"> </w:t>
      </w:r>
      <w:r w:rsidRPr="003D5C0F">
        <w:t xml:space="preserve">He may suffer financial hardship in having to refinance or sell the property, but that result falls short of the language used in </w:t>
      </w:r>
      <w:r w:rsidRPr="003D5C0F">
        <w:rPr>
          <w:i/>
        </w:rPr>
        <w:t>Winand</w:t>
      </w:r>
      <w:r w:rsidRPr="003D5C0F">
        <w:t xml:space="preserve"> and </w:t>
      </w:r>
      <w:r w:rsidRPr="003D5C0F">
        <w:rPr>
          <w:i/>
        </w:rPr>
        <w:t>Tran</w:t>
      </w:r>
      <w:r w:rsidRPr="003D5C0F">
        <w:t xml:space="preserve">. </w:t>
      </w:r>
      <w:r w:rsidR="00CE2615">
        <w:t xml:space="preserve"> </w:t>
      </w:r>
      <w:r w:rsidRPr="003D5C0F">
        <w:t xml:space="preserve">I do not accept that the applicant will suffer “unacceptable hardship” or that </w:t>
      </w:r>
      <w:r w:rsidR="00A853CB" w:rsidRPr="003D5C0F">
        <w:t>an</w:t>
      </w:r>
      <w:r w:rsidRPr="003D5C0F">
        <w:t xml:space="preserve"> order for forfeiture will be “manifestly unfair”.</w:t>
      </w:r>
    </w:p>
    <w:p w14:paraId="506BB37D" w14:textId="209C18F7" w:rsidR="00094DCD" w:rsidRPr="003D5C0F" w:rsidRDefault="00094DCD" w:rsidP="00094DCD">
      <w:pPr>
        <w:pStyle w:val="Heading1"/>
      </w:pPr>
      <w:r w:rsidRPr="003D5C0F">
        <w:t xml:space="preserve">The offence with which the </w:t>
      </w:r>
      <w:r w:rsidR="00C13AD8" w:rsidRPr="003D5C0F">
        <w:t xml:space="preserve">applicant </w:t>
      </w:r>
      <w:r w:rsidRPr="003D5C0F">
        <w:t>was charged</w:t>
      </w:r>
      <w:r w:rsidR="00CE2615">
        <w:t>,</w:t>
      </w:r>
      <w:r w:rsidRPr="003D5C0F">
        <w:t xml:space="preserve"> and to which he made a plea of guilty</w:t>
      </w:r>
      <w:r w:rsidR="00CE2615">
        <w:t>,</w:t>
      </w:r>
      <w:r w:rsidRPr="003D5C0F">
        <w:t xml:space="preserve"> is a serious example of the cultivation of a large crop of cannabis, and as I have already observed, by use of a sophisticated and extensive system of cultivation from which the applicant intended to reap a significant financial reward. I do not accept that making an order for forfeiture is, therefore, disproportionate to the level of his offending conduct.</w:t>
      </w:r>
    </w:p>
    <w:p w14:paraId="4ED1B4D3" w14:textId="4226B88D" w:rsidR="00094DCD" w:rsidRPr="003D5C0F" w:rsidRDefault="00094DCD" w:rsidP="00094DCD">
      <w:pPr>
        <w:pStyle w:val="Heading1"/>
      </w:pPr>
      <w:r w:rsidRPr="003D5C0F">
        <w:t xml:space="preserve">I should now deal with one particular submission made by counsel for the applicant. </w:t>
      </w:r>
      <w:r w:rsidR="00CE2615">
        <w:t xml:space="preserve"> </w:t>
      </w:r>
      <w:r w:rsidRPr="003D5C0F">
        <w:t xml:space="preserve">Counsel referred me to </w:t>
      </w:r>
      <w:r w:rsidRPr="003D5C0F">
        <w:rPr>
          <w:i/>
        </w:rPr>
        <w:t>D</w:t>
      </w:r>
      <w:r w:rsidR="00946AEE">
        <w:rPr>
          <w:i/>
        </w:rPr>
        <w:t xml:space="preserve">irector of Public </w:t>
      </w:r>
      <w:r w:rsidRPr="003D5C0F">
        <w:rPr>
          <w:i/>
        </w:rPr>
        <w:t>P</w:t>
      </w:r>
      <w:r w:rsidR="00946AEE">
        <w:rPr>
          <w:i/>
        </w:rPr>
        <w:t>rosecutions (Vic)</w:t>
      </w:r>
      <w:r w:rsidRPr="003D5C0F">
        <w:rPr>
          <w:i/>
        </w:rPr>
        <w:t xml:space="preserve"> v Cini</w:t>
      </w:r>
      <w:r w:rsidRPr="003D5C0F">
        <w:rPr>
          <w:vertAlign w:val="superscript"/>
        </w:rPr>
        <w:footnoteReference w:id="13"/>
      </w:r>
      <w:r w:rsidRPr="003D5C0F">
        <w:t xml:space="preserve"> in which Weinberg JA observed that even though the appellant’s offending was serious</w:t>
      </w:r>
      <w:r w:rsidR="00CE2615">
        <w:t>,</w:t>
      </w:r>
      <w:r w:rsidRPr="003D5C0F">
        <w:t xml:space="preserve"> that upon assessing the objective gravity of his offending</w:t>
      </w:r>
      <w:r w:rsidR="00CE2615">
        <w:t>,</w:t>
      </w:r>
      <w:r w:rsidRPr="003D5C0F">
        <w:t xml:space="preserve"> that it was not just that he be imprisoned and lose his home as well.</w:t>
      </w:r>
      <w:r w:rsidRPr="003D5C0F">
        <w:rPr>
          <w:vertAlign w:val="superscript"/>
        </w:rPr>
        <w:footnoteReference w:id="14"/>
      </w:r>
      <w:r w:rsidRPr="003D5C0F">
        <w:t xml:space="preserve"> </w:t>
      </w:r>
    </w:p>
    <w:p w14:paraId="5E12EA80" w14:textId="316E33F3" w:rsidR="00094DCD" w:rsidRPr="003D5C0F" w:rsidRDefault="00094DCD" w:rsidP="00094DCD">
      <w:pPr>
        <w:pStyle w:val="Heading1"/>
      </w:pPr>
      <w:r w:rsidRPr="003D5C0F">
        <w:t xml:space="preserve">Counsel for the applicant sought to rely on </w:t>
      </w:r>
      <w:r w:rsidRPr="003D5C0F">
        <w:rPr>
          <w:i/>
        </w:rPr>
        <w:t>Cini</w:t>
      </w:r>
      <w:r w:rsidR="003D5C0F" w:rsidRPr="003D5C0F">
        <w:t>,</w:t>
      </w:r>
      <w:r w:rsidR="009B570E" w:rsidRPr="003D5C0F">
        <w:rPr>
          <w:i/>
        </w:rPr>
        <w:t xml:space="preserve"> </w:t>
      </w:r>
      <w:r w:rsidRPr="003D5C0F">
        <w:t>that the Chief Magistrate did not factor the applicant’s liability to suffer an order for forfeiture, and therefore, if he had</w:t>
      </w:r>
      <w:r w:rsidR="00CE2615">
        <w:t>,</w:t>
      </w:r>
      <w:r w:rsidRPr="003D5C0F">
        <w:t xml:space="preserve"> then the sentence might have been moderated further.</w:t>
      </w:r>
      <w:r w:rsidR="00CE2615">
        <w:t xml:space="preserve"> </w:t>
      </w:r>
      <w:r w:rsidRPr="003D5C0F">
        <w:t xml:space="preserve"> I understood that to address the issue whether the making of an order for forfeiture would, therefore, be disproportionate to the applicant’s offending conduct given the </w:t>
      </w:r>
      <w:r w:rsidRPr="003D5C0F">
        <w:lastRenderedPageBreak/>
        <w:t>sentence imposed, and the sentence which might have been imposed had the applicant’s liability for an order for forfeiture been considered.</w:t>
      </w:r>
    </w:p>
    <w:p w14:paraId="16BB2744" w14:textId="01C615BF" w:rsidR="00094DCD" w:rsidRPr="003D5C0F" w:rsidRDefault="00094DCD" w:rsidP="00094DCD">
      <w:pPr>
        <w:pStyle w:val="Heading1"/>
      </w:pPr>
      <w:r w:rsidRPr="003D5C0F">
        <w:t xml:space="preserve">Counsel for the respondent submitted that this is to misconceive the objects of the </w:t>
      </w:r>
      <w:r w:rsidRPr="003D5C0F">
        <w:rPr>
          <w:i/>
        </w:rPr>
        <w:t>Confiscation Act</w:t>
      </w:r>
      <w:r w:rsidRPr="003D5C0F">
        <w:t xml:space="preserve"> and the purpose served by making an order for forfeiture. He submitted that the applicant’s offending conduct was in all respects serious for the reasons w</w:t>
      </w:r>
      <w:r w:rsidR="003D5C0F" w:rsidRPr="003D5C0F">
        <w:t>hich I have summarised earlier.</w:t>
      </w:r>
    </w:p>
    <w:p w14:paraId="24DE0B5C" w14:textId="31C9537A" w:rsidR="00094DCD" w:rsidRPr="003D5C0F" w:rsidRDefault="00094DCD" w:rsidP="00094DCD">
      <w:pPr>
        <w:pStyle w:val="Heading1"/>
      </w:pPr>
      <w:r w:rsidRPr="003D5C0F">
        <w:t>I am not persuaded that the liability for forfeiture would necessarily have led to any greater leniency.</w:t>
      </w:r>
      <w:r w:rsidR="00CE2615">
        <w:t xml:space="preserve"> </w:t>
      </w:r>
      <w:r w:rsidRPr="003D5C0F">
        <w:t xml:space="preserve"> It is a difficult matter to judge post the event of sentencing and the evidence led on the sentencing process. </w:t>
      </w:r>
      <w:r w:rsidR="00CE2615">
        <w:t xml:space="preserve"> </w:t>
      </w:r>
      <w:r w:rsidRPr="003D5C0F">
        <w:t>In any event</w:t>
      </w:r>
      <w:r w:rsidR="00CE2615">
        <w:t>,</w:t>
      </w:r>
      <w:r w:rsidRPr="003D5C0F">
        <w:t xml:space="preserve"> I am of the view that what I am to consider is the evidence of the applicant’s cultivation of cannabis and its level of seriousness despite the deal he was able to strike to plead to a lesser charge.</w:t>
      </w:r>
    </w:p>
    <w:p w14:paraId="75668FFA" w14:textId="63676C67" w:rsidR="00094DCD" w:rsidRPr="003D5C0F" w:rsidRDefault="00094DCD" w:rsidP="00094DCD">
      <w:pPr>
        <w:pStyle w:val="Heading1"/>
      </w:pPr>
      <w:r w:rsidRPr="003D5C0F">
        <w:t>Lastl</w:t>
      </w:r>
      <w:r w:rsidR="00BC0ADF" w:rsidRPr="003D5C0F">
        <w:t>y, I should deal with s</w:t>
      </w:r>
      <w:r w:rsidRPr="003D5C0F">
        <w:t>(1A)</w:t>
      </w:r>
      <w:r w:rsidR="00BC0ADF" w:rsidRPr="003D5C0F">
        <w:t xml:space="preserve"> of the </w:t>
      </w:r>
      <w:r w:rsidR="00BC0ADF" w:rsidRPr="003D5C0F">
        <w:rPr>
          <w:i/>
        </w:rPr>
        <w:t>Confiscation Act</w:t>
      </w:r>
      <w:r w:rsidRPr="003D5C0F">
        <w:t>.</w:t>
      </w:r>
      <w:r w:rsidR="00CE2615">
        <w:t xml:space="preserve"> </w:t>
      </w:r>
      <w:r w:rsidRPr="003D5C0F">
        <w:t xml:space="preserve"> I do not think it is relevant to my overall consideration whether to make an order for forfeiture or not. </w:t>
      </w:r>
      <w:r w:rsidR="00CE2615">
        <w:t xml:space="preserve"> </w:t>
      </w:r>
      <w:r w:rsidRPr="003D5C0F">
        <w:t xml:space="preserve">It prohibits me from taking into account “the impact” of the sentence imposed on the applicant. </w:t>
      </w:r>
      <w:r w:rsidR="00CE2615">
        <w:t xml:space="preserve"> </w:t>
      </w:r>
      <w:r w:rsidRPr="003D5C0F">
        <w:t>By example, if the applicant were imprisoned and lost gainful employment which resulted in financial loss, then s</w:t>
      </w:r>
      <w:r w:rsidR="00CE2615">
        <w:t>s</w:t>
      </w:r>
      <w:r w:rsidRPr="003D5C0F">
        <w:t xml:space="preserve">(1A) would prohibit me from weighing that into account. </w:t>
      </w:r>
      <w:r w:rsidR="00CE2615">
        <w:t xml:space="preserve"> </w:t>
      </w:r>
      <w:r w:rsidRPr="003D5C0F">
        <w:t>As I understand the applicant’s position</w:t>
      </w:r>
      <w:r w:rsidR="00CE2615">
        <w:t>,</w:t>
      </w:r>
      <w:r w:rsidRPr="003D5C0F">
        <w:t xml:space="preserve"> he did not lose his liberty and was able to go about his life without restriction subject to his obligat</w:t>
      </w:r>
      <w:r w:rsidR="00BC0ADF" w:rsidRPr="003D5C0F">
        <w:t>ion to meet the demands of the O</w:t>
      </w:r>
      <w:r w:rsidRPr="003D5C0F">
        <w:t xml:space="preserve">rder. </w:t>
      </w:r>
      <w:r w:rsidR="00CE2615">
        <w:t xml:space="preserve"> </w:t>
      </w:r>
      <w:r w:rsidRPr="003D5C0F">
        <w:t>In any event, no evidence was adduced by the applicant relevant to any impact on him of the sentence.</w:t>
      </w:r>
    </w:p>
    <w:p w14:paraId="7AAE5590" w14:textId="77777777" w:rsidR="00094DCD" w:rsidRPr="003D5C0F" w:rsidRDefault="00094DCD" w:rsidP="00BF7EA3">
      <w:pPr>
        <w:pStyle w:val="Heading10"/>
      </w:pPr>
      <w:r w:rsidRPr="003D5C0F">
        <w:t>Conclusion</w:t>
      </w:r>
    </w:p>
    <w:p w14:paraId="0D157D50" w14:textId="77777777" w:rsidR="00094DCD" w:rsidRDefault="00094DCD" w:rsidP="00094DCD">
      <w:pPr>
        <w:pStyle w:val="Heading1"/>
      </w:pPr>
      <w:r w:rsidRPr="003D5C0F">
        <w:t>It is for these reasons that I will dismiss the applicant’s application, and it follows that I will make an order for forfeiture in favour of the respondent.</w:t>
      </w:r>
    </w:p>
    <w:p w14:paraId="224CE4E2" w14:textId="7AF56E0A" w:rsidR="00CE2615" w:rsidRPr="003D5C0F" w:rsidRDefault="00CE2615" w:rsidP="00BF7EA3">
      <w:pPr>
        <w:pStyle w:val="Heading1"/>
        <w:numPr>
          <w:ilvl w:val="0"/>
          <w:numId w:val="0"/>
        </w:numPr>
        <w:ind w:left="720"/>
        <w:jc w:val="center"/>
      </w:pPr>
      <w:r>
        <w:t>- - -</w:t>
      </w:r>
    </w:p>
    <w:sectPr w:rsidR="00CE2615" w:rsidRPr="003D5C0F">
      <w:headerReference w:type="default" r:id="rId11"/>
      <w:footerReference w:type="default" r:id="rId12"/>
      <w:pgSz w:w="11909" w:h="16834" w:code="9"/>
      <w:pgMar w:top="864" w:right="1138" w:bottom="1152"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7DDE5" w14:textId="77777777" w:rsidR="00094DCD" w:rsidRDefault="00094DCD">
      <w:r>
        <w:separator/>
      </w:r>
    </w:p>
  </w:endnote>
  <w:endnote w:type="continuationSeparator" w:id="0">
    <w:p w14:paraId="5ECBF365" w14:textId="77777777" w:rsidR="00094DCD" w:rsidRDefault="0009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50950" w14:textId="77777777" w:rsidR="00094DCD" w:rsidRDefault="00094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C32185" w14:textId="77777777" w:rsidR="00094DCD" w:rsidRDefault="00094D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9060C" w14:textId="77777777" w:rsidR="00094DCD" w:rsidRDefault="00094DCD"/>
  <w:p w14:paraId="6D89BE51" w14:textId="77777777" w:rsidR="00094DCD" w:rsidRDefault="00094DCD">
    <w:pPr>
      <w:pBdr>
        <w:top w:val="single" w:sz="2" w:space="1" w:color="auto"/>
      </w:pBdr>
      <w:spacing w:line="240" w:lineRule="auto"/>
      <w:rPr>
        <w:sz w:val="4"/>
      </w:rPr>
    </w:pPr>
  </w:p>
  <w:tbl>
    <w:tblPr>
      <w:tblW w:w="0" w:type="auto"/>
      <w:tblLayout w:type="fixed"/>
      <w:tblLook w:val="0000" w:firstRow="0" w:lastRow="0" w:firstColumn="0" w:lastColumn="0" w:noHBand="0" w:noVBand="0"/>
    </w:tblPr>
    <w:tblGrid>
      <w:gridCol w:w="8208"/>
      <w:gridCol w:w="1800"/>
    </w:tblGrid>
    <w:tr w:rsidR="00094DCD" w14:paraId="1D692BF2" w14:textId="77777777">
      <w:tc>
        <w:tcPr>
          <w:tcW w:w="8208" w:type="dxa"/>
        </w:tcPr>
        <w:p w14:paraId="58571FF6" w14:textId="77777777" w:rsidR="00094DCD" w:rsidRDefault="00094DCD">
          <w:pPr>
            <w:rPr>
              <w:sz w:val="16"/>
            </w:rPr>
          </w:pPr>
          <w:bookmarkStart w:id="19" w:name="FOOTERloc1"/>
          <w:bookmarkEnd w:id="19"/>
          <w:r>
            <w:rPr>
              <w:sz w:val="16"/>
            </w:rPr>
            <w:t>COUNTY COURT OF VICTORIA</w:t>
          </w:r>
        </w:p>
        <w:p w14:paraId="217207FF" w14:textId="77777777" w:rsidR="00094DCD" w:rsidRDefault="00094DCD" w:rsidP="00C743F0">
          <w:pPr>
            <w:pStyle w:val="Footer-Cover"/>
            <w:jc w:val="left"/>
            <w:rPr>
              <w:caps/>
            </w:rPr>
          </w:pPr>
          <w:r>
            <w:t>250 William Street, Melbourne</w:t>
          </w:r>
        </w:p>
      </w:tc>
      <w:tc>
        <w:tcPr>
          <w:tcW w:w="1800" w:type="dxa"/>
        </w:tcPr>
        <w:p w14:paraId="2EA97D22" w14:textId="77777777" w:rsidR="00094DCD" w:rsidRDefault="00094DCD">
          <w:pPr>
            <w:pStyle w:val="Footer-Cover"/>
            <w:jc w:val="right"/>
          </w:pPr>
        </w:p>
        <w:p w14:paraId="37323D5F" w14:textId="77777777" w:rsidR="00094DCD" w:rsidRDefault="00094DCD">
          <w:pPr>
            <w:pStyle w:val="Footer-Cover"/>
            <w:jc w:val="right"/>
            <w:rPr>
              <w:color w:val="FFFFFF"/>
              <w:sz w:val="22"/>
            </w:rPr>
          </w:pPr>
          <w:r>
            <w:rPr>
              <w:rStyle w:val="PageNumber"/>
              <w:color w:val="FFFFFF"/>
              <w:sz w:val="2"/>
            </w:rPr>
            <w:fldChar w:fldCharType="begin"/>
          </w:r>
          <w:r>
            <w:rPr>
              <w:rStyle w:val="PageNumber"/>
              <w:color w:val="FFFFFF"/>
              <w:sz w:val="2"/>
            </w:rPr>
            <w:instrText xml:space="preserve"> = </w:instrText>
          </w:r>
          <w:r>
            <w:rPr>
              <w:rStyle w:val="PageNumber"/>
              <w:color w:val="FFFFFF"/>
              <w:sz w:val="2"/>
            </w:rPr>
            <w:fldChar w:fldCharType="begin"/>
          </w:r>
          <w:r>
            <w:rPr>
              <w:rStyle w:val="PageNumber"/>
              <w:color w:val="FFFFFF"/>
              <w:sz w:val="2"/>
            </w:rPr>
            <w:instrText xml:space="preserve"> PAGE </w:instrText>
          </w:r>
          <w:r>
            <w:rPr>
              <w:rStyle w:val="PageNumber"/>
              <w:color w:val="FFFFFF"/>
              <w:sz w:val="2"/>
            </w:rPr>
            <w:fldChar w:fldCharType="separate"/>
          </w:r>
          <w:r w:rsidR="00D963CD">
            <w:rPr>
              <w:rStyle w:val="PageNumber"/>
              <w:noProof/>
              <w:color w:val="FFFFFF"/>
              <w:sz w:val="2"/>
            </w:rPr>
            <w:instrText>i</w:instrText>
          </w:r>
          <w:r>
            <w:rPr>
              <w:rStyle w:val="PageNumber"/>
              <w:color w:val="FFFFFF"/>
              <w:sz w:val="2"/>
            </w:rPr>
            <w:fldChar w:fldCharType="end"/>
          </w:r>
          <w:r>
            <w:rPr>
              <w:rStyle w:val="PageNumber"/>
              <w:color w:val="FFFFFF"/>
              <w:sz w:val="2"/>
            </w:rPr>
            <w:instrText xml:space="preserve"> - 1 </w:instrText>
          </w:r>
          <w:r>
            <w:rPr>
              <w:rStyle w:val="PageNumber"/>
              <w:color w:val="FFFFFF"/>
              <w:sz w:val="2"/>
            </w:rPr>
            <w:fldChar w:fldCharType="separate"/>
          </w:r>
          <w:r w:rsidR="00D963CD">
            <w:rPr>
              <w:rStyle w:val="PageNumber"/>
              <w:b/>
              <w:noProof/>
              <w:color w:val="FFFFFF"/>
              <w:sz w:val="2"/>
            </w:rPr>
            <w:t>!Undefined Bookmark, I</w:t>
          </w:r>
          <w:r>
            <w:rPr>
              <w:rStyle w:val="PageNumber"/>
              <w:color w:val="FFFFFF"/>
              <w:sz w:val="2"/>
            </w:rPr>
            <w:fldChar w:fldCharType="end"/>
          </w:r>
        </w:p>
      </w:tc>
    </w:tr>
  </w:tbl>
  <w:p w14:paraId="66C7B2DC" w14:textId="77777777" w:rsidR="00094DCD" w:rsidRDefault="00094DCD">
    <w:pP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028F" w14:textId="77777777" w:rsidR="002F1EC6" w:rsidRDefault="002F1EC6">
    <w:pPr>
      <w:spacing w:line="240" w:lineRule="auto"/>
      <w:ind w:right="360"/>
      <w:jc w:val="left"/>
    </w:pPr>
    <w:bookmarkStart w:id="21" w:name="DELsec2Footer"/>
  </w:p>
  <w:tbl>
    <w:tblPr>
      <w:tblW w:w="9781" w:type="dxa"/>
      <w:tblLayout w:type="fixed"/>
      <w:tblCellMar>
        <w:left w:w="0" w:type="dxa"/>
        <w:right w:w="0" w:type="dxa"/>
      </w:tblCellMar>
      <w:tblLook w:val="0000" w:firstRow="0" w:lastRow="0" w:firstColumn="0" w:lastColumn="0" w:noHBand="0" w:noVBand="0"/>
    </w:tblPr>
    <w:tblGrid>
      <w:gridCol w:w="4786"/>
      <w:gridCol w:w="709"/>
      <w:gridCol w:w="4286"/>
    </w:tblGrid>
    <w:tr w:rsidR="002F1EC6" w14:paraId="1E6DA82A" w14:textId="77777777">
      <w:tc>
        <w:tcPr>
          <w:tcW w:w="4786" w:type="dxa"/>
          <w:vAlign w:val="center"/>
        </w:tcPr>
        <w:p w14:paraId="2A56F008" w14:textId="24DDE09E" w:rsidR="002F1EC6" w:rsidRDefault="002F1EC6" w:rsidP="000A3FB3">
          <w:pPr>
            <w:pStyle w:val="Footer"/>
            <w:rPr>
              <w:caps/>
              <w:szCs w:val="16"/>
            </w:rPr>
          </w:pPr>
          <w:bookmarkStart w:id="22" w:name="FOOTERloc2"/>
          <w:bookmarkEnd w:id="22"/>
          <w:r>
            <w:rPr>
              <w:caps/>
              <w:szCs w:val="16"/>
            </w:rPr>
            <w:t>VCC:</w:t>
          </w:r>
          <w:bookmarkStart w:id="23" w:name="Initials2"/>
          <w:bookmarkEnd w:id="23"/>
          <w:r w:rsidR="007B6CFE">
            <w:rPr>
              <w:caps/>
              <w:szCs w:val="16"/>
            </w:rPr>
            <w:t>as</w:t>
          </w:r>
        </w:p>
      </w:tc>
      <w:tc>
        <w:tcPr>
          <w:tcW w:w="709" w:type="dxa"/>
        </w:tcPr>
        <w:p w14:paraId="644332B4" w14:textId="77777777" w:rsidR="002F1EC6" w:rsidRDefault="002F1EC6">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D963CD">
            <w:rPr>
              <w:rStyle w:val="PageNumber"/>
              <w:noProof/>
              <w:sz w:val="20"/>
            </w:rPr>
            <w:t>8</w:t>
          </w:r>
          <w:r>
            <w:rPr>
              <w:rStyle w:val="PageNumber"/>
              <w:sz w:val="20"/>
            </w:rPr>
            <w:fldChar w:fldCharType="end"/>
          </w:r>
        </w:p>
      </w:tc>
      <w:tc>
        <w:tcPr>
          <w:tcW w:w="4286" w:type="dxa"/>
        </w:tcPr>
        <w:p w14:paraId="00FD0E64" w14:textId="26CBF0FB" w:rsidR="002F1EC6" w:rsidRDefault="007B6CFE" w:rsidP="0030546D">
          <w:pPr>
            <w:pStyle w:val="Footer"/>
            <w:jc w:val="right"/>
            <w:rPr>
              <w:caps/>
              <w:sz w:val="20"/>
            </w:rPr>
          </w:pPr>
          <w:r>
            <w:rPr>
              <w:caps/>
              <w:sz w:val="20"/>
            </w:rPr>
            <w:t>ruling</w:t>
          </w:r>
        </w:p>
        <w:p w14:paraId="071DD47E" w14:textId="53F9642E" w:rsidR="002F1EC6" w:rsidRPr="001424DF" w:rsidRDefault="004837C3" w:rsidP="004837C3">
          <w:pPr>
            <w:pStyle w:val="Footer"/>
            <w:jc w:val="right"/>
            <w:rPr>
              <w:sz w:val="20"/>
            </w:rPr>
          </w:pPr>
          <w:bookmarkStart w:id="24" w:name="CaseCited"/>
          <w:bookmarkEnd w:id="24"/>
          <w:r>
            <w:rPr>
              <w:sz w:val="20"/>
            </w:rPr>
            <w:t>ADAMS</w:t>
          </w:r>
          <w:r w:rsidR="007B6CFE">
            <w:rPr>
              <w:sz w:val="20"/>
            </w:rPr>
            <w:t xml:space="preserve"> v DPP (Ruling No 2)</w:t>
          </w:r>
        </w:p>
      </w:tc>
    </w:tr>
    <w:bookmarkEnd w:id="21"/>
  </w:tbl>
  <w:p w14:paraId="6FD90FAF" w14:textId="77777777" w:rsidR="002F1EC6" w:rsidRDefault="002F1EC6">
    <w:pPr>
      <w:pStyle w:val="Foote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E1888" w14:textId="77777777" w:rsidR="00094DCD" w:rsidRDefault="00094DCD">
      <w:r>
        <w:separator/>
      </w:r>
    </w:p>
  </w:footnote>
  <w:footnote w:type="continuationSeparator" w:id="0">
    <w:p w14:paraId="00B6EBF7" w14:textId="77777777" w:rsidR="00094DCD" w:rsidRDefault="00094DCD">
      <w:r>
        <w:continuationSeparator/>
      </w:r>
    </w:p>
  </w:footnote>
  <w:footnote w:id="1">
    <w:p w14:paraId="1749E7FA" w14:textId="3FB49184" w:rsidR="00943A7E" w:rsidRDefault="00943A7E">
      <w:pPr>
        <w:pStyle w:val="FootnoteText"/>
      </w:pPr>
      <w:r>
        <w:rPr>
          <w:rStyle w:val="FootnoteReference"/>
        </w:rPr>
        <w:footnoteRef/>
      </w:r>
      <w:r>
        <w:t xml:space="preserve"> a pseudonym.</w:t>
      </w:r>
    </w:p>
  </w:footnote>
  <w:footnote w:id="2">
    <w:p w14:paraId="614AB14C" w14:textId="5E620B62" w:rsidR="00717886" w:rsidRDefault="00717886">
      <w:pPr>
        <w:pStyle w:val="FootnoteText"/>
      </w:pPr>
      <w:r>
        <w:rPr>
          <w:rStyle w:val="FootnoteReference"/>
        </w:rPr>
        <w:footnoteRef/>
      </w:r>
      <w:r>
        <w:t xml:space="preserve">  a pseudonym</w:t>
      </w:r>
    </w:p>
  </w:footnote>
  <w:footnote w:id="3">
    <w:p w14:paraId="39C21D83" w14:textId="725BA715" w:rsidR="00094DCD" w:rsidRDefault="00094DCD" w:rsidP="00094DCD">
      <w:pPr>
        <w:pStyle w:val="FootnoteText"/>
      </w:pPr>
      <w:r>
        <w:rPr>
          <w:rStyle w:val="FootnoteReference"/>
        </w:rPr>
        <w:footnoteRef/>
      </w:r>
      <w:r>
        <w:t xml:space="preserve"> (“the </w:t>
      </w:r>
      <w:r w:rsidR="00A1680B">
        <w:t>R</w:t>
      </w:r>
      <w:r>
        <w:t>easons”)</w:t>
      </w:r>
    </w:p>
  </w:footnote>
  <w:footnote w:id="4">
    <w:p w14:paraId="66F30F97" w14:textId="77777777" w:rsidR="00094DCD" w:rsidRDefault="00094DCD" w:rsidP="00094DCD">
      <w:pPr>
        <w:pStyle w:val="FootnoteText"/>
      </w:pPr>
      <w:r>
        <w:rPr>
          <w:rStyle w:val="FootnoteReference"/>
        </w:rPr>
        <w:footnoteRef/>
      </w:r>
      <w:r>
        <w:t xml:space="preserve"> </w:t>
      </w:r>
      <w:r>
        <w:tab/>
        <w:t>Hansard - 26 June 2014 at page 2384</w:t>
      </w:r>
    </w:p>
  </w:footnote>
  <w:footnote w:id="5">
    <w:p w14:paraId="0A399D4B" w14:textId="6CDE4DA7" w:rsidR="00F7029A" w:rsidRPr="00BF7EA3" w:rsidRDefault="00F7029A">
      <w:pPr>
        <w:pStyle w:val="FootnoteText"/>
      </w:pPr>
      <w:r>
        <w:rPr>
          <w:rStyle w:val="FootnoteReference"/>
        </w:rPr>
        <w:footnoteRef/>
      </w:r>
      <w:r>
        <w:t xml:space="preserve"> </w:t>
      </w:r>
      <w:r>
        <w:tab/>
        <w:t>(1989) 44 A Crim R 63 (“</w:t>
      </w:r>
      <w:r>
        <w:rPr>
          <w:i/>
        </w:rPr>
        <w:t>Lake</w:t>
      </w:r>
      <w:r>
        <w:t>”)</w:t>
      </w:r>
    </w:p>
  </w:footnote>
  <w:footnote w:id="6">
    <w:p w14:paraId="15AA0E5E" w14:textId="54056CE2" w:rsidR="00094DCD" w:rsidRDefault="00094DCD" w:rsidP="00094DCD">
      <w:pPr>
        <w:pStyle w:val="FootnoteText"/>
      </w:pPr>
      <w:r>
        <w:rPr>
          <w:rStyle w:val="FootnoteReference"/>
        </w:rPr>
        <w:footnoteRef/>
      </w:r>
      <w:r>
        <w:t xml:space="preserve"> </w:t>
      </w:r>
      <w:r>
        <w:tab/>
      </w:r>
      <w:r w:rsidR="00F7029A">
        <w:rPr>
          <w:i/>
        </w:rPr>
        <w:t>Lake</w:t>
      </w:r>
      <w:r w:rsidR="00F7029A">
        <w:t xml:space="preserve"> </w:t>
      </w:r>
      <w:r>
        <w:t xml:space="preserve">at 66-67. </w:t>
      </w:r>
      <w:r w:rsidR="00F7029A">
        <w:t xml:space="preserve"> </w:t>
      </w:r>
      <w:r w:rsidRPr="002F1320">
        <w:rPr>
          <w:i/>
        </w:rPr>
        <w:t>Lake</w:t>
      </w:r>
      <w:r>
        <w:t xml:space="preserve"> was followed in </w:t>
      </w:r>
      <w:r w:rsidRPr="00D436AD">
        <w:rPr>
          <w:i/>
        </w:rPr>
        <w:t>Kinealy v D</w:t>
      </w:r>
      <w:r w:rsidR="00AB6EE0">
        <w:rPr>
          <w:i/>
        </w:rPr>
        <w:t xml:space="preserve">irector of Public Prosecutions </w:t>
      </w:r>
      <w:r>
        <w:t xml:space="preserve">(2013) </w:t>
      </w:r>
      <w:r w:rsidR="00AB6EE0">
        <w:t xml:space="preserve">224 A Crim R 553 </w:t>
      </w:r>
      <w:r w:rsidR="00B678A5">
        <w:t>("</w:t>
      </w:r>
      <w:r w:rsidRPr="00C81116">
        <w:rPr>
          <w:i/>
        </w:rPr>
        <w:t>Kinealy</w:t>
      </w:r>
      <w:r>
        <w:t xml:space="preserve">"). </w:t>
      </w:r>
      <w:r w:rsidR="00F7029A">
        <w:t xml:space="preserve"> </w:t>
      </w:r>
      <w:r>
        <w:t xml:space="preserve">J Forrest J referred to </w:t>
      </w:r>
      <w:r w:rsidRPr="00C81116">
        <w:rPr>
          <w:i/>
        </w:rPr>
        <w:t xml:space="preserve">Lake </w:t>
      </w:r>
      <w:r>
        <w:t xml:space="preserve">with approval. </w:t>
      </w:r>
      <w:r w:rsidR="00F7029A">
        <w:t xml:space="preserve"> </w:t>
      </w:r>
      <w:r>
        <w:t xml:space="preserve">When he quoted this passage he considered that the word </w:t>
      </w:r>
      <w:r w:rsidR="00F7029A">
        <w:t>“</w:t>
      </w:r>
      <w:r>
        <w:t>effectiveness</w:t>
      </w:r>
      <w:r w:rsidR="00F7029A">
        <w:t>”</w:t>
      </w:r>
      <w:r>
        <w:t xml:space="preserve"> found in the last line of the quote was intended to be read as </w:t>
      </w:r>
      <w:r w:rsidR="00F7029A">
        <w:t>“</w:t>
      </w:r>
      <w:r>
        <w:t>ineffectiveness</w:t>
      </w:r>
      <w:r w:rsidR="00F7029A">
        <w:t>”</w:t>
      </w:r>
      <w:r>
        <w:t>: at</w:t>
      </w:r>
      <w:r w:rsidR="00F7029A">
        <w:t xml:space="preserve"> paragraph</w:t>
      </w:r>
      <w:r>
        <w:t xml:space="preserve"> [57], and also </w:t>
      </w:r>
      <w:r w:rsidR="009C77C2">
        <w:rPr>
          <w:i/>
        </w:rPr>
        <w:t xml:space="preserve">R </w:t>
      </w:r>
      <w:r w:rsidRPr="002F1320">
        <w:rPr>
          <w:i/>
        </w:rPr>
        <w:t>v Tran</w:t>
      </w:r>
      <w:r>
        <w:t xml:space="preserve"> [2004] VSC 218 (</w:t>
      </w:r>
      <w:r w:rsidR="00F7029A">
        <w:t>“</w:t>
      </w:r>
      <w:r w:rsidRPr="00C36401">
        <w:rPr>
          <w:i/>
        </w:rPr>
        <w:t>Tran</w:t>
      </w:r>
      <w:r w:rsidR="00F7029A">
        <w:t>”</w:t>
      </w:r>
      <w:r>
        <w:t>)</w:t>
      </w:r>
    </w:p>
  </w:footnote>
  <w:footnote w:id="7">
    <w:p w14:paraId="37F5DEF3" w14:textId="77777777" w:rsidR="00094DCD" w:rsidRDefault="00094DCD" w:rsidP="00094DCD">
      <w:pPr>
        <w:pStyle w:val="FootnoteText"/>
      </w:pPr>
      <w:r>
        <w:rPr>
          <w:rStyle w:val="FootnoteReference"/>
        </w:rPr>
        <w:footnoteRef/>
      </w:r>
      <w:r>
        <w:t xml:space="preserve"> </w:t>
      </w:r>
      <w:r>
        <w:tab/>
        <w:t>(1994) 73 A Crim R 497</w:t>
      </w:r>
      <w:r w:rsidR="005526C1">
        <w:t xml:space="preserve"> (“</w:t>
      </w:r>
      <w:r w:rsidR="005526C1" w:rsidRPr="00BF7EA3">
        <w:rPr>
          <w:i/>
        </w:rPr>
        <w:t>Winand</w:t>
      </w:r>
      <w:r w:rsidR="005526C1">
        <w:t>”)</w:t>
      </w:r>
    </w:p>
  </w:footnote>
  <w:footnote w:id="8">
    <w:p w14:paraId="6E76EFF5" w14:textId="79EC1837" w:rsidR="00094DCD" w:rsidRPr="00965BCD" w:rsidRDefault="00094DCD" w:rsidP="00094DCD">
      <w:pPr>
        <w:pStyle w:val="FootnoteText"/>
      </w:pPr>
      <w:r>
        <w:rPr>
          <w:rStyle w:val="FootnoteReference"/>
        </w:rPr>
        <w:footnoteRef/>
      </w:r>
      <w:r>
        <w:t xml:space="preserve"> </w:t>
      </w:r>
      <w:r>
        <w:tab/>
      </w:r>
      <w:r w:rsidR="00240A75" w:rsidRPr="00BF7EA3">
        <w:rPr>
          <w:i/>
        </w:rPr>
        <w:t>Winand</w:t>
      </w:r>
      <w:r w:rsidR="00240A75">
        <w:t xml:space="preserve"> a</w:t>
      </w:r>
      <w:r>
        <w:t>t 500-1. These observations were applied in a number of authorities including</w:t>
      </w:r>
      <w:r w:rsidR="008878CA">
        <w:t xml:space="preserve"> </w:t>
      </w:r>
      <w:r w:rsidRPr="00C36401">
        <w:rPr>
          <w:i/>
        </w:rPr>
        <w:t>Tran</w:t>
      </w:r>
      <w:r>
        <w:t xml:space="preserve"> at</w:t>
      </w:r>
      <w:r w:rsidR="008878CA">
        <w:t xml:space="preserve"> paragraph</w:t>
      </w:r>
      <w:r>
        <w:t xml:space="preserve"> [11], </w:t>
      </w:r>
      <w:r w:rsidRPr="00C36401">
        <w:rPr>
          <w:i/>
        </w:rPr>
        <w:t>Kinealy</w:t>
      </w:r>
      <w:r>
        <w:rPr>
          <w:i/>
        </w:rPr>
        <w:t xml:space="preserve"> </w:t>
      </w:r>
      <w:r>
        <w:t xml:space="preserve">at </w:t>
      </w:r>
      <w:r w:rsidR="008878CA">
        <w:t xml:space="preserve">paragraph </w:t>
      </w:r>
      <w:r>
        <w:t>[59]</w:t>
      </w:r>
      <w:r w:rsidR="000007F1">
        <w:t xml:space="preserve"> and</w:t>
      </w:r>
      <w:r>
        <w:rPr>
          <w:i/>
        </w:rPr>
        <w:t xml:space="preserve"> DPP v Ali</w:t>
      </w:r>
      <w:r w:rsidR="007605D7">
        <w:rPr>
          <w:i/>
        </w:rPr>
        <w:t xml:space="preserve"> (No 2)</w:t>
      </w:r>
      <w:r>
        <w:rPr>
          <w:i/>
        </w:rPr>
        <w:t xml:space="preserve"> </w:t>
      </w:r>
      <w:r>
        <w:t xml:space="preserve">[2010] VSC 503 at </w:t>
      </w:r>
      <w:r w:rsidR="008878CA">
        <w:t xml:space="preserve">paragraph </w:t>
      </w:r>
      <w:r>
        <w:t xml:space="preserve">[101]. </w:t>
      </w:r>
      <w:r w:rsidR="000007F1">
        <w:t xml:space="preserve"> </w:t>
      </w:r>
      <w:r>
        <w:t xml:space="preserve">Additionally, in </w:t>
      </w:r>
      <w:r w:rsidRPr="00BF7EA3">
        <w:rPr>
          <w:i/>
        </w:rPr>
        <w:t xml:space="preserve">R v Wealand </w:t>
      </w:r>
      <w:r>
        <w:t xml:space="preserve">(2002] 136 A Crim R </w:t>
      </w:r>
      <w:r w:rsidRPr="00965BCD">
        <w:t>159</w:t>
      </w:r>
      <w:r>
        <w:t>,</w:t>
      </w:r>
      <w:r w:rsidRPr="00965BCD">
        <w:t xml:space="preserve"> Kirby P (as he then was)</w:t>
      </w:r>
      <w:r>
        <w:t xml:space="preserve"> observed that it is relevant to whether an order for forfeiture of property may be disproportionate to the offence which was committed: at 164-5</w:t>
      </w:r>
    </w:p>
  </w:footnote>
  <w:footnote w:id="9">
    <w:p w14:paraId="63E0887B" w14:textId="77777777" w:rsidR="00094DCD" w:rsidRDefault="00094DCD" w:rsidP="00094DCD">
      <w:pPr>
        <w:pStyle w:val="FootnoteText"/>
      </w:pPr>
      <w:r>
        <w:rPr>
          <w:rStyle w:val="FootnoteReference"/>
        </w:rPr>
        <w:footnoteRef/>
      </w:r>
      <w:r>
        <w:t xml:space="preserve"> </w:t>
      </w:r>
      <w:r>
        <w:tab/>
        <w:t>at 503</w:t>
      </w:r>
    </w:p>
  </w:footnote>
  <w:footnote w:id="10">
    <w:p w14:paraId="37E0C7E7" w14:textId="77777777" w:rsidR="00094DCD" w:rsidRPr="00A73DE6" w:rsidRDefault="00094DCD" w:rsidP="00094DCD">
      <w:pPr>
        <w:pStyle w:val="FootnoteText"/>
        <w:rPr>
          <w:sz w:val="32"/>
        </w:rPr>
      </w:pPr>
      <w:r>
        <w:rPr>
          <w:rStyle w:val="FootnoteReference"/>
        </w:rPr>
        <w:footnoteRef/>
      </w:r>
      <w:r>
        <w:t xml:space="preserve"> </w:t>
      </w:r>
      <w:r>
        <w:tab/>
        <w:t>at [15]</w:t>
      </w:r>
      <w:r>
        <w:rPr>
          <w:sz w:val="32"/>
        </w:rPr>
        <w:t xml:space="preserve"> </w:t>
      </w:r>
    </w:p>
  </w:footnote>
  <w:footnote w:id="11">
    <w:p w14:paraId="4561AE00" w14:textId="287FF2B9" w:rsidR="00094DCD" w:rsidRDefault="00094DCD" w:rsidP="00094DCD">
      <w:pPr>
        <w:pStyle w:val="FootnoteText"/>
      </w:pPr>
      <w:r>
        <w:rPr>
          <w:rStyle w:val="FootnoteReference"/>
        </w:rPr>
        <w:footnoteRef/>
      </w:r>
      <w:r>
        <w:t xml:space="preserve"> </w:t>
      </w:r>
      <w:r>
        <w:tab/>
        <w:t xml:space="preserve">Counsel for the respondent also referred me to </w:t>
      </w:r>
      <w:r w:rsidRPr="001133BC">
        <w:rPr>
          <w:i/>
        </w:rPr>
        <w:t xml:space="preserve">Taylor v Attorney-General </w:t>
      </w:r>
      <w:r w:rsidR="00946336">
        <w:rPr>
          <w:i/>
        </w:rPr>
        <w:t>(SA)</w:t>
      </w:r>
      <w:r>
        <w:t xml:space="preserve"> (1991) 55 SASR 462, and the observations of Debelle J</w:t>
      </w:r>
      <w:r w:rsidR="00AB0AF8">
        <w:t>,</w:t>
      </w:r>
      <w:r>
        <w:t xml:space="preserve"> who used the expressions </w:t>
      </w:r>
      <w:r w:rsidR="00AB0AF8">
        <w:t>“</w:t>
      </w:r>
      <w:r>
        <w:t>severely disproportionate</w:t>
      </w:r>
      <w:r w:rsidR="00AB0AF8">
        <w:t>”</w:t>
      </w:r>
      <w:r>
        <w:t xml:space="preserve"> when referring to the circumstances of the offence and the nature and degree of offending as relevant, and the word </w:t>
      </w:r>
      <w:r w:rsidR="00AB0AF8">
        <w:t>“</w:t>
      </w:r>
      <w:r>
        <w:t>unnecessary</w:t>
      </w:r>
      <w:r w:rsidR="00AB0AF8">
        <w:t>”</w:t>
      </w:r>
      <w:r>
        <w:t xml:space="preserve"> </w:t>
      </w:r>
      <w:r w:rsidR="00AB0AF8">
        <w:t>a</w:t>
      </w:r>
      <w:r>
        <w:t>s qualifying hardship which he considered might justify the court in refusing an order</w:t>
      </w:r>
    </w:p>
  </w:footnote>
  <w:footnote w:id="12">
    <w:p w14:paraId="4F5D21F9" w14:textId="163D9761" w:rsidR="00094DCD" w:rsidRDefault="00094DCD" w:rsidP="00094DCD">
      <w:pPr>
        <w:pStyle w:val="FootnoteText"/>
      </w:pPr>
      <w:r>
        <w:rPr>
          <w:rStyle w:val="FootnoteReference"/>
        </w:rPr>
        <w:footnoteRef/>
      </w:r>
      <w:r>
        <w:t xml:space="preserve"> </w:t>
      </w:r>
      <w:r>
        <w:tab/>
        <w:t xml:space="preserve">These were estimates submitted by counsel for the applicant. </w:t>
      </w:r>
      <w:r w:rsidR="00CE2615">
        <w:t xml:space="preserve"> </w:t>
      </w:r>
      <w:r>
        <w:t>They were not the subject of contest by counsel for the respondent</w:t>
      </w:r>
      <w:r w:rsidR="00946AEE">
        <w:t>.</w:t>
      </w:r>
    </w:p>
  </w:footnote>
  <w:footnote w:id="13">
    <w:p w14:paraId="42ED1D7B" w14:textId="4AC9348E" w:rsidR="00094DCD" w:rsidRDefault="00094DCD" w:rsidP="00094DCD">
      <w:pPr>
        <w:pStyle w:val="FootnoteText"/>
      </w:pPr>
      <w:r>
        <w:rPr>
          <w:rStyle w:val="FootnoteReference"/>
        </w:rPr>
        <w:footnoteRef/>
      </w:r>
      <w:r>
        <w:t xml:space="preserve"> </w:t>
      </w:r>
      <w:r>
        <w:tab/>
      </w:r>
      <w:r w:rsidR="00946AEE">
        <w:t>(</w:t>
      </w:r>
      <w:r>
        <w:t>2013</w:t>
      </w:r>
      <w:r w:rsidR="00946AEE">
        <w:t>) 38 VR 83</w:t>
      </w:r>
    </w:p>
  </w:footnote>
  <w:footnote w:id="14">
    <w:p w14:paraId="1D90D13A" w14:textId="1B33176C" w:rsidR="00094DCD" w:rsidRDefault="00094DCD" w:rsidP="00094DCD">
      <w:pPr>
        <w:pStyle w:val="FootnoteText"/>
      </w:pPr>
      <w:r>
        <w:rPr>
          <w:rStyle w:val="FootnoteReference"/>
        </w:rPr>
        <w:footnoteRef/>
      </w:r>
      <w:r>
        <w:t xml:space="preserve"> </w:t>
      </w:r>
      <w:r>
        <w:tab/>
        <w:t xml:space="preserve">at </w:t>
      </w:r>
      <w:r w:rsidR="00CE2615">
        <w:t xml:space="preserve">paragraph </w:t>
      </w:r>
      <w:r>
        <w:t>[72]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383B" w14:textId="77777777" w:rsidR="00094DCD" w:rsidRDefault="00094DCD" w:rsidP="002364D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2A3D8" w14:textId="11B6A45B" w:rsidR="002F1EC6" w:rsidRDefault="002F1EC6">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A4EEB89E"/>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2DF60B1"/>
    <w:multiLevelType w:val="singleLevel"/>
    <w:tmpl w:val="B672C992"/>
    <w:lvl w:ilvl="0">
      <w:start w:val="1"/>
      <w:numFmt w:val="decimal"/>
      <w:pStyle w:val="Heading1"/>
      <w:lvlText w:val="%1"/>
      <w:lvlJc w:val="left"/>
      <w:pPr>
        <w:tabs>
          <w:tab w:val="num" w:pos="360"/>
        </w:tabs>
        <w:ind w:left="0" w:firstLine="0"/>
      </w:pPr>
      <w:rPr>
        <w:sz w:val="20"/>
      </w:rPr>
    </w:lvl>
  </w:abstractNum>
  <w:abstractNum w:abstractNumId="5">
    <w:nsid w:val="44180F03"/>
    <w:multiLevelType w:val="singleLevel"/>
    <w:tmpl w:val="0C09000F"/>
    <w:lvl w:ilvl="0">
      <w:start w:val="1"/>
      <w:numFmt w:val="decimal"/>
      <w:lvlText w:val="%1."/>
      <w:lvlJc w:val="left"/>
      <w:pPr>
        <w:ind w:left="720" w:hanging="360"/>
      </w:pPr>
    </w:lvl>
  </w:abstractNum>
  <w:abstractNum w:abstractNumId="6">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7">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8">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AE635BA"/>
    <w:multiLevelType w:val="singleLevel"/>
    <w:tmpl w:val="0C09000F"/>
    <w:lvl w:ilvl="0">
      <w:start w:val="1"/>
      <w:numFmt w:val="decimal"/>
      <w:lvlText w:val="%1."/>
      <w:lvlJc w:val="left"/>
      <w:pPr>
        <w:tabs>
          <w:tab w:val="num" w:pos="360"/>
        </w:tabs>
        <w:ind w:left="360" w:hanging="360"/>
      </w:pPr>
    </w:lvl>
  </w:abstractNum>
  <w:abstractNum w:abstractNumId="10">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num w:numId="1">
    <w:abstractNumId w:val="8"/>
  </w:num>
  <w:num w:numId="2">
    <w:abstractNumId w:val="3"/>
  </w:num>
  <w:num w:numId="3">
    <w:abstractNumId w:val="10"/>
  </w:num>
  <w:num w:numId="4">
    <w:abstractNumId w:val="2"/>
  </w:num>
  <w:num w:numId="5">
    <w:abstractNumId w:val="4"/>
  </w:num>
  <w:num w:numId="6">
    <w:abstractNumId w:val="7"/>
  </w:num>
  <w:num w:numId="7">
    <w:abstractNumId w:val="1"/>
  </w:num>
  <w:num w:numId="8">
    <w:abstractNumId w:val="9"/>
  </w:num>
  <w:num w:numId="9">
    <w:abstractNumId w:val="6"/>
  </w:num>
  <w:num w:numId="10">
    <w:abstractNumId w:val="4"/>
  </w:num>
  <w:num w:numId="11">
    <w:abstractNumId w:val="0"/>
  </w:num>
  <w:num w:numId="12">
    <w:abstractNumId w:val="4"/>
  </w:num>
  <w:num w:numId="13">
    <w:abstractNumId w:val="1"/>
  </w:num>
  <w:num w:numId="14">
    <w:abstractNumId w:val="1"/>
  </w:num>
  <w:num w:numId="15">
    <w:abstractNumId w:val="1"/>
  </w:num>
  <w:num w:numId="16">
    <w:abstractNumId w:val="1"/>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CD"/>
    <w:rsid w:val="000007F1"/>
    <w:rsid w:val="000078EA"/>
    <w:rsid w:val="00011FA4"/>
    <w:rsid w:val="0001764F"/>
    <w:rsid w:val="000216F3"/>
    <w:rsid w:val="0002285A"/>
    <w:rsid w:val="00023E06"/>
    <w:rsid w:val="00024808"/>
    <w:rsid w:val="00025B03"/>
    <w:rsid w:val="00033142"/>
    <w:rsid w:val="00033630"/>
    <w:rsid w:val="00040D30"/>
    <w:rsid w:val="00040DBA"/>
    <w:rsid w:val="00061E6A"/>
    <w:rsid w:val="0006334B"/>
    <w:rsid w:val="0009378E"/>
    <w:rsid w:val="00094DCD"/>
    <w:rsid w:val="000A3FB3"/>
    <w:rsid w:val="000C75CB"/>
    <w:rsid w:val="000D2693"/>
    <w:rsid w:val="000D70D4"/>
    <w:rsid w:val="000D7CB4"/>
    <w:rsid w:val="000E1761"/>
    <w:rsid w:val="000F768D"/>
    <w:rsid w:val="00102025"/>
    <w:rsid w:val="00115BA1"/>
    <w:rsid w:val="00137355"/>
    <w:rsid w:val="001424DF"/>
    <w:rsid w:val="001558F3"/>
    <w:rsid w:val="001928B3"/>
    <w:rsid w:val="0019716F"/>
    <w:rsid w:val="001A5E1E"/>
    <w:rsid w:val="001A7CE5"/>
    <w:rsid w:val="001B1195"/>
    <w:rsid w:val="001C0905"/>
    <w:rsid w:val="001D1917"/>
    <w:rsid w:val="001D312C"/>
    <w:rsid w:val="001D61A5"/>
    <w:rsid w:val="001D6CE1"/>
    <w:rsid w:val="001E2C81"/>
    <w:rsid w:val="0020590F"/>
    <w:rsid w:val="00221D7C"/>
    <w:rsid w:val="00223DE7"/>
    <w:rsid w:val="00224531"/>
    <w:rsid w:val="002364D4"/>
    <w:rsid w:val="0023669A"/>
    <w:rsid w:val="00240A75"/>
    <w:rsid w:val="00242D93"/>
    <w:rsid w:val="0026430D"/>
    <w:rsid w:val="002667AE"/>
    <w:rsid w:val="00266F1F"/>
    <w:rsid w:val="00274431"/>
    <w:rsid w:val="00274B22"/>
    <w:rsid w:val="00276038"/>
    <w:rsid w:val="0028172F"/>
    <w:rsid w:val="00294D40"/>
    <w:rsid w:val="00295864"/>
    <w:rsid w:val="002971C8"/>
    <w:rsid w:val="002A4749"/>
    <w:rsid w:val="002A5DC6"/>
    <w:rsid w:val="002A6784"/>
    <w:rsid w:val="002B00C1"/>
    <w:rsid w:val="002B7989"/>
    <w:rsid w:val="002C5D07"/>
    <w:rsid w:val="002D6D02"/>
    <w:rsid w:val="002E3281"/>
    <w:rsid w:val="002E699C"/>
    <w:rsid w:val="002F1EC6"/>
    <w:rsid w:val="002F2AC6"/>
    <w:rsid w:val="00300EEE"/>
    <w:rsid w:val="003034C0"/>
    <w:rsid w:val="003037EE"/>
    <w:rsid w:val="00303E15"/>
    <w:rsid w:val="0030546D"/>
    <w:rsid w:val="00314458"/>
    <w:rsid w:val="003212DE"/>
    <w:rsid w:val="00325D59"/>
    <w:rsid w:val="0033345D"/>
    <w:rsid w:val="00335E89"/>
    <w:rsid w:val="00354A60"/>
    <w:rsid w:val="003615F2"/>
    <w:rsid w:val="00367DDC"/>
    <w:rsid w:val="003748B5"/>
    <w:rsid w:val="00376438"/>
    <w:rsid w:val="003800A4"/>
    <w:rsid w:val="003963BC"/>
    <w:rsid w:val="003A06EC"/>
    <w:rsid w:val="003A627E"/>
    <w:rsid w:val="003B703F"/>
    <w:rsid w:val="003C71E8"/>
    <w:rsid w:val="003D29D2"/>
    <w:rsid w:val="003D3655"/>
    <w:rsid w:val="003D5179"/>
    <w:rsid w:val="003D5C0F"/>
    <w:rsid w:val="003E08DB"/>
    <w:rsid w:val="003E2D3C"/>
    <w:rsid w:val="003E3B14"/>
    <w:rsid w:val="00401BC0"/>
    <w:rsid w:val="004069A9"/>
    <w:rsid w:val="00407A50"/>
    <w:rsid w:val="00412E22"/>
    <w:rsid w:val="0042706E"/>
    <w:rsid w:val="00432CDC"/>
    <w:rsid w:val="004417FA"/>
    <w:rsid w:val="0045080F"/>
    <w:rsid w:val="0046702F"/>
    <w:rsid w:val="00474CE1"/>
    <w:rsid w:val="00475E57"/>
    <w:rsid w:val="004837C3"/>
    <w:rsid w:val="004908F8"/>
    <w:rsid w:val="00493A22"/>
    <w:rsid w:val="00497EF9"/>
    <w:rsid w:val="004C734D"/>
    <w:rsid w:val="004D5D60"/>
    <w:rsid w:val="004D75DC"/>
    <w:rsid w:val="004E0BC9"/>
    <w:rsid w:val="004E427A"/>
    <w:rsid w:val="004E7BC8"/>
    <w:rsid w:val="0050105F"/>
    <w:rsid w:val="0050679D"/>
    <w:rsid w:val="00513C2A"/>
    <w:rsid w:val="005153F3"/>
    <w:rsid w:val="00535BF7"/>
    <w:rsid w:val="00551D56"/>
    <w:rsid w:val="005526C1"/>
    <w:rsid w:val="00553A40"/>
    <w:rsid w:val="00575763"/>
    <w:rsid w:val="00577770"/>
    <w:rsid w:val="00583388"/>
    <w:rsid w:val="00591692"/>
    <w:rsid w:val="00593471"/>
    <w:rsid w:val="005A54D4"/>
    <w:rsid w:val="005B3831"/>
    <w:rsid w:val="005B6099"/>
    <w:rsid w:val="005C65FF"/>
    <w:rsid w:val="005C6E28"/>
    <w:rsid w:val="005E398C"/>
    <w:rsid w:val="005F0CA4"/>
    <w:rsid w:val="006046F4"/>
    <w:rsid w:val="00606BA4"/>
    <w:rsid w:val="00612206"/>
    <w:rsid w:val="0061495B"/>
    <w:rsid w:val="006158C6"/>
    <w:rsid w:val="0063740F"/>
    <w:rsid w:val="006415B5"/>
    <w:rsid w:val="006454F4"/>
    <w:rsid w:val="006516FD"/>
    <w:rsid w:val="00652CCC"/>
    <w:rsid w:val="0066136E"/>
    <w:rsid w:val="0067135B"/>
    <w:rsid w:val="00673E32"/>
    <w:rsid w:val="006802E1"/>
    <w:rsid w:val="006875EC"/>
    <w:rsid w:val="006906B3"/>
    <w:rsid w:val="006A3FCF"/>
    <w:rsid w:val="006B1599"/>
    <w:rsid w:val="006B36D4"/>
    <w:rsid w:val="006B64D4"/>
    <w:rsid w:val="006C11D7"/>
    <w:rsid w:val="006C336D"/>
    <w:rsid w:val="006E1BE9"/>
    <w:rsid w:val="006E6CE7"/>
    <w:rsid w:val="006F51F7"/>
    <w:rsid w:val="006F70A1"/>
    <w:rsid w:val="006F723F"/>
    <w:rsid w:val="00700178"/>
    <w:rsid w:val="00717886"/>
    <w:rsid w:val="00733E2E"/>
    <w:rsid w:val="00735A55"/>
    <w:rsid w:val="007419CF"/>
    <w:rsid w:val="00742CAF"/>
    <w:rsid w:val="00745B32"/>
    <w:rsid w:val="00747B34"/>
    <w:rsid w:val="00757434"/>
    <w:rsid w:val="00757628"/>
    <w:rsid w:val="007605D7"/>
    <w:rsid w:val="00760CFD"/>
    <w:rsid w:val="00764158"/>
    <w:rsid w:val="007679D4"/>
    <w:rsid w:val="00777037"/>
    <w:rsid w:val="007A68C9"/>
    <w:rsid w:val="007B6CFE"/>
    <w:rsid w:val="007D1340"/>
    <w:rsid w:val="007D769C"/>
    <w:rsid w:val="007D7F0D"/>
    <w:rsid w:val="007F295C"/>
    <w:rsid w:val="008048EB"/>
    <w:rsid w:val="00813E98"/>
    <w:rsid w:val="008200DC"/>
    <w:rsid w:val="008218DF"/>
    <w:rsid w:val="00821B7B"/>
    <w:rsid w:val="00834327"/>
    <w:rsid w:val="00837276"/>
    <w:rsid w:val="008578F5"/>
    <w:rsid w:val="008806D8"/>
    <w:rsid w:val="008876A7"/>
    <w:rsid w:val="008878CA"/>
    <w:rsid w:val="008C36BB"/>
    <w:rsid w:val="008E0E37"/>
    <w:rsid w:val="008F04F9"/>
    <w:rsid w:val="0091639B"/>
    <w:rsid w:val="00923A43"/>
    <w:rsid w:val="00943A7E"/>
    <w:rsid w:val="00946336"/>
    <w:rsid w:val="00946A10"/>
    <w:rsid w:val="00946AEE"/>
    <w:rsid w:val="00975B38"/>
    <w:rsid w:val="009A4E66"/>
    <w:rsid w:val="009B2658"/>
    <w:rsid w:val="009B570E"/>
    <w:rsid w:val="009C53E3"/>
    <w:rsid w:val="009C77C2"/>
    <w:rsid w:val="009C78F2"/>
    <w:rsid w:val="009C7A63"/>
    <w:rsid w:val="009D27A3"/>
    <w:rsid w:val="009F22BC"/>
    <w:rsid w:val="009F5396"/>
    <w:rsid w:val="009F7EA7"/>
    <w:rsid w:val="00A01A6B"/>
    <w:rsid w:val="00A034D2"/>
    <w:rsid w:val="00A07629"/>
    <w:rsid w:val="00A1680B"/>
    <w:rsid w:val="00A23BB8"/>
    <w:rsid w:val="00A25790"/>
    <w:rsid w:val="00A323A5"/>
    <w:rsid w:val="00A4360A"/>
    <w:rsid w:val="00A64728"/>
    <w:rsid w:val="00A733D3"/>
    <w:rsid w:val="00A74049"/>
    <w:rsid w:val="00A85375"/>
    <w:rsid w:val="00A853CB"/>
    <w:rsid w:val="00A91756"/>
    <w:rsid w:val="00A94DD9"/>
    <w:rsid w:val="00A94ED4"/>
    <w:rsid w:val="00A96E37"/>
    <w:rsid w:val="00AA0E5E"/>
    <w:rsid w:val="00AA43E7"/>
    <w:rsid w:val="00AA4D1F"/>
    <w:rsid w:val="00AA7D3B"/>
    <w:rsid w:val="00AB0AF8"/>
    <w:rsid w:val="00AB173F"/>
    <w:rsid w:val="00AB1DD6"/>
    <w:rsid w:val="00AB6EE0"/>
    <w:rsid w:val="00AC0B76"/>
    <w:rsid w:val="00AC0D9A"/>
    <w:rsid w:val="00AC128E"/>
    <w:rsid w:val="00AC2041"/>
    <w:rsid w:val="00AD1A19"/>
    <w:rsid w:val="00AD6BD4"/>
    <w:rsid w:val="00AE13F4"/>
    <w:rsid w:val="00AF7313"/>
    <w:rsid w:val="00B010E6"/>
    <w:rsid w:val="00B02955"/>
    <w:rsid w:val="00B03284"/>
    <w:rsid w:val="00B35A9F"/>
    <w:rsid w:val="00B37BBF"/>
    <w:rsid w:val="00B52E25"/>
    <w:rsid w:val="00B63A1E"/>
    <w:rsid w:val="00B678A5"/>
    <w:rsid w:val="00B84301"/>
    <w:rsid w:val="00BA22EC"/>
    <w:rsid w:val="00BB459B"/>
    <w:rsid w:val="00BC0ADF"/>
    <w:rsid w:val="00BC1580"/>
    <w:rsid w:val="00BD23C6"/>
    <w:rsid w:val="00BD7D43"/>
    <w:rsid w:val="00BE1F19"/>
    <w:rsid w:val="00BF4EE9"/>
    <w:rsid w:val="00BF7EA3"/>
    <w:rsid w:val="00C002D9"/>
    <w:rsid w:val="00C06EAF"/>
    <w:rsid w:val="00C125B0"/>
    <w:rsid w:val="00C13AD8"/>
    <w:rsid w:val="00C22643"/>
    <w:rsid w:val="00C259A2"/>
    <w:rsid w:val="00C43E20"/>
    <w:rsid w:val="00C4465A"/>
    <w:rsid w:val="00C6223D"/>
    <w:rsid w:val="00C70C50"/>
    <w:rsid w:val="00C743F0"/>
    <w:rsid w:val="00C80216"/>
    <w:rsid w:val="00C83F96"/>
    <w:rsid w:val="00C86CF2"/>
    <w:rsid w:val="00C904D3"/>
    <w:rsid w:val="00C94599"/>
    <w:rsid w:val="00C96C36"/>
    <w:rsid w:val="00CA2FF0"/>
    <w:rsid w:val="00CC5E16"/>
    <w:rsid w:val="00CE101A"/>
    <w:rsid w:val="00CE16A3"/>
    <w:rsid w:val="00CE2327"/>
    <w:rsid w:val="00CE2615"/>
    <w:rsid w:val="00CE2DFC"/>
    <w:rsid w:val="00CE5FF5"/>
    <w:rsid w:val="00CF5DB1"/>
    <w:rsid w:val="00D15756"/>
    <w:rsid w:val="00D40104"/>
    <w:rsid w:val="00D424B8"/>
    <w:rsid w:val="00D43658"/>
    <w:rsid w:val="00D44F42"/>
    <w:rsid w:val="00D71246"/>
    <w:rsid w:val="00D762E9"/>
    <w:rsid w:val="00D8109B"/>
    <w:rsid w:val="00D819BF"/>
    <w:rsid w:val="00D82CDF"/>
    <w:rsid w:val="00D90F29"/>
    <w:rsid w:val="00D913F7"/>
    <w:rsid w:val="00D9292C"/>
    <w:rsid w:val="00D963CD"/>
    <w:rsid w:val="00DA5D70"/>
    <w:rsid w:val="00DD4F56"/>
    <w:rsid w:val="00DE6418"/>
    <w:rsid w:val="00DF39F2"/>
    <w:rsid w:val="00E06E9F"/>
    <w:rsid w:val="00E45B14"/>
    <w:rsid w:val="00E47436"/>
    <w:rsid w:val="00E56D42"/>
    <w:rsid w:val="00E74ED6"/>
    <w:rsid w:val="00E806B7"/>
    <w:rsid w:val="00E874B0"/>
    <w:rsid w:val="00E87B07"/>
    <w:rsid w:val="00EC10C3"/>
    <w:rsid w:val="00EC5536"/>
    <w:rsid w:val="00EC5BEC"/>
    <w:rsid w:val="00EC7431"/>
    <w:rsid w:val="00EE323D"/>
    <w:rsid w:val="00EE5007"/>
    <w:rsid w:val="00EE6E3B"/>
    <w:rsid w:val="00EF7CF7"/>
    <w:rsid w:val="00F01570"/>
    <w:rsid w:val="00F04246"/>
    <w:rsid w:val="00F20957"/>
    <w:rsid w:val="00F239B1"/>
    <w:rsid w:val="00F23A3B"/>
    <w:rsid w:val="00F41C7D"/>
    <w:rsid w:val="00F7029A"/>
    <w:rsid w:val="00F72726"/>
    <w:rsid w:val="00F76895"/>
    <w:rsid w:val="00F90529"/>
    <w:rsid w:val="00F91034"/>
    <w:rsid w:val="00F93A9C"/>
    <w:rsid w:val="00F94577"/>
    <w:rsid w:val="00FB14CB"/>
    <w:rsid w:val="00FB1E66"/>
    <w:rsid w:val="00FD305F"/>
    <w:rsid w:val="00FE20C3"/>
    <w:rsid w:val="00FE364F"/>
    <w:rsid w:val="00FE68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A29231D"/>
  <w15:chartTrackingRefBased/>
  <w15:docId w15:val="{6646E934-74D4-4436-8BDE-0C8EF761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40DBA"/>
    <w:pPr>
      <w:widowControl w:val="0"/>
      <w:spacing w:line="240" w:lineRule="atLeast"/>
      <w:jc w:val="both"/>
    </w:pPr>
    <w:rPr>
      <w:rFonts w:ascii="Arial" w:hAnsi="Arial"/>
      <w:sz w:val="24"/>
      <w:lang w:eastAsia="en-US"/>
    </w:rPr>
  </w:style>
  <w:style w:type="paragraph" w:styleId="Heading1">
    <w:name w:val="heading 1"/>
    <w:aliases w:val="Para 1 2 3"/>
    <w:basedOn w:val="Normal"/>
    <w:qFormat/>
    <w:pPr>
      <w:numPr>
        <w:numId w:val="12"/>
      </w:numPr>
      <w:tabs>
        <w:tab w:val="clear" w:pos="360"/>
      </w:tabs>
      <w:spacing w:after="240" w:line="480" w:lineRule="atLeast"/>
      <w:ind w:left="1440" w:hanging="720"/>
      <w:outlineLvl w:val="0"/>
    </w:pPr>
    <w:rPr>
      <w:kern w:val="28"/>
    </w:rPr>
  </w:style>
  <w:style w:type="paragraph" w:styleId="Heading2">
    <w:name w:val="heading 2"/>
    <w:basedOn w:val="Normal"/>
    <w:next w:val="Normal"/>
    <w:pPr>
      <w:keepNext/>
      <w:spacing w:before="240" w:line="240" w:lineRule="auto"/>
      <w:ind w:right="720"/>
      <w:outlineLvl w:val="1"/>
    </w:pPr>
  </w:style>
  <w:style w:type="paragraph" w:styleId="Heading3">
    <w:name w:val="heading 3"/>
    <w:basedOn w:val="Normal"/>
    <w:next w:val="Normal"/>
    <w:pPr>
      <w:keepNext/>
      <w:spacing w:before="240" w:line="240" w:lineRule="auto"/>
      <w:ind w:right="720"/>
      <w:outlineLvl w:val="2"/>
    </w:pPr>
  </w:style>
  <w:style w:type="paragraph" w:styleId="Heading4">
    <w:name w:val="heading 4"/>
    <w:basedOn w:val="Normal"/>
    <w:next w:val="Normal"/>
    <w:pPr>
      <w:keepNext/>
      <w:spacing w:before="240" w:line="240" w:lineRule="auto"/>
      <w:ind w:right="720"/>
      <w:outlineLvl w:val="3"/>
    </w:pPr>
  </w:style>
  <w:style w:type="paragraph" w:styleId="Heading5">
    <w:name w:val="heading 5"/>
    <w:basedOn w:val="Normal"/>
    <w:next w:val="Normal"/>
    <w:pPr>
      <w:keepNext/>
      <w:numPr>
        <w:ilvl w:val="4"/>
        <w:numId w:val="13"/>
      </w:numPr>
      <w:tabs>
        <w:tab w:val="clear" w:pos="0"/>
        <w:tab w:val="num" w:pos="1800"/>
      </w:tabs>
      <w:spacing w:line="240" w:lineRule="auto"/>
      <w:ind w:left="0" w:firstLine="0"/>
      <w:outlineLvl w:val="4"/>
    </w:pPr>
    <w:rPr>
      <w:b/>
      <w:kern w:val="28"/>
      <w:lang w:val="en-US"/>
    </w:rPr>
  </w:style>
  <w:style w:type="paragraph" w:styleId="Heading6">
    <w:name w:val="heading 6"/>
    <w:basedOn w:val="Normal"/>
    <w:next w:val="Normal"/>
    <w:pPr>
      <w:keepNext/>
      <w:numPr>
        <w:ilvl w:val="5"/>
        <w:numId w:val="14"/>
      </w:numPr>
      <w:tabs>
        <w:tab w:val="clear" w:pos="0"/>
        <w:tab w:val="num" w:pos="2160"/>
      </w:tabs>
      <w:spacing w:before="120" w:after="80"/>
      <w:ind w:left="2160" w:hanging="360"/>
      <w:outlineLvl w:val="5"/>
    </w:pPr>
    <w:rPr>
      <w:b/>
      <w:i/>
      <w:kern w:val="28"/>
      <w:lang w:val="en-US"/>
    </w:rPr>
  </w:style>
  <w:style w:type="paragraph" w:styleId="Heading7">
    <w:name w:val="heading 7"/>
    <w:basedOn w:val="Normal"/>
    <w:next w:val="Normal"/>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line="240" w:lineRule="auto"/>
      <w:jc w:val="left"/>
    </w:pPr>
    <w:rPr>
      <w:sz w:val="16"/>
    </w:rPr>
  </w:style>
  <w:style w:type="paragraph" w:styleId="Header">
    <w:name w:val="header"/>
    <w:basedOn w:val="Normal"/>
    <w:link w:val="HeaderChar"/>
    <w:pPr>
      <w:tabs>
        <w:tab w:val="center" w:pos="4153"/>
        <w:tab w:val="right" w:pos="8306"/>
      </w:tabs>
      <w:spacing w:line="240" w:lineRule="auto"/>
      <w:jc w:val="left"/>
    </w:pPr>
    <w:rPr>
      <w:sz w:val="16"/>
    </w:rPr>
  </w:style>
  <w:style w:type="character" w:styleId="PageNumber">
    <w:name w:val="page number"/>
    <w:basedOn w:val="DefaultParagraphFont"/>
  </w:style>
  <w:style w:type="paragraph" w:customStyle="1" w:styleId="Quote1">
    <w:name w:val="Quote1"/>
    <w:basedOn w:val="Normal"/>
    <w:uiPriority w:val="5"/>
    <w:qFormat/>
    <w:rsid w:val="00040D30"/>
    <w:pPr>
      <w:spacing w:after="240"/>
      <w:ind w:left="1973" w:right="720" w:hanging="102"/>
    </w:pPr>
    <w:rPr>
      <w:sz w:val="22"/>
    </w:rPr>
  </w:style>
  <w:style w:type="paragraph" w:customStyle="1" w:styleId="SideHeading">
    <w:name w:val="Side Heading"/>
    <w:basedOn w:val="Normal"/>
    <w:uiPriority w:val="6"/>
    <w:qFormat/>
    <w:pPr>
      <w:spacing w:after="240" w:line="240" w:lineRule="auto"/>
      <w:ind w:left="720" w:right="720"/>
    </w:pPr>
  </w:style>
  <w:style w:type="paragraph" w:customStyle="1" w:styleId="Para-Indent">
    <w:name w:val="Para - Indent"/>
    <w:basedOn w:val="Normal"/>
    <w:uiPriority w:val="6"/>
    <w:qFormat/>
    <w:pPr>
      <w:spacing w:after="240" w:line="480" w:lineRule="atLeast"/>
      <w:ind w:left="1440" w:hanging="720"/>
    </w:pPr>
  </w:style>
  <w:style w:type="paragraph" w:customStyle="1" w:styleId="Para">
    <w:name w:val="Para"/>
    <w:basedOn w:val="Normal"/>
    <w:uiPriority w:val="1"/>
    <w:qFormat/>
    <w:pPr>
      <w:spacing w:after="240" w:line="480" w:lineRule="atLeast"/>
      <w:ind w:left="144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semiHidden/>
    <w:pPr>
      <w:tabs>
        <w:tab w:val="right" w:leader="dot" w:pos="9753"/>
      </w:tabs>
      <w:spacing w:before="120" w:line="240" w:lineRule="auto"/>
    </w:pPr>
    <w:rPr>
      <w:b/>
      <w:noProof/>
    </w:rPr>
  </w:style>
  <w:style w:type="paragraph" w:customStyle="1" w:styleId="Heading10">
    <w:name w:val="Heading1"/>
    <w:basedOn w:val="Normal"/>
    <w:next w:val="Heading1"/>
    <w:uiPriority w:val="5"/>
    <w:qFormat/>
    <w:rsid w:val="008E0E37"/>
    <w:pPr>
      <w:keepNext/>
      <w:spacing w:before="240" w:line="240" w:lineRule="auto"/>
      <w:ind w:left="720"/>
    </w:pPr>
    <w:rPr>
      <w:b/>
    </w:rPr>
  </w:style>
  <w:style w:type="paragraph" w:customStyle="1" w:styleId="Heading20">
    <w:name w:val="Heading2"/>
    <w:basedOn w:val="Normal"/>
    <w:next w:val="Heading1"/>
    <w:uiPriority w:val="5"/>
    <w:qFormat/>
    <w:rsid w:val="00606BA4"/>
    <w:pPr>
      <w:keepNext/>
      <w:spacing w:before="240" w:line="240" w:lineRule="auto"/>
      <w:ind w:left="1440"/>
    </w:pPr>
    <w:rPr>
      <w:b/>
    </w:rPr>
  </w:style>
  <w:style w:type="paragraph" w:styleId="TOC2">
    <w:name w:val="toc 2"/>
    <w:basedOn w:val="Normal"/>
    <w:next w:val="Normal"/>
    <w:autoRedefine/>
    <w:semiHidden/>
    <w:pPr>
      <w:tabs>
        <w:tab w:val="right" w:leader="dot" w:pos="9753"/>
      </w:tabs>
      <w:spacing w:line="240" w:lineRule="auto"/>
      <w:ind w:left="360"/>
    </w:pPr>
    <w:rPr>
      <w:noProof/>
    </w:rPr>
  </w:style>
  <w:style w:type="paragraph" w:styleId="TOC3">
    <w:name w:val="toc 3"/>
    <w:basedOn w:val="Normal"/>
    <w:next w:val="Normal"/>
    <w:autoRedefine/>
    <w:semiHidden/>
    <w:pPr>
      <w:tabs>
        <w:tab w:val="right" w:leader="dot" w:pos="9753"/>
      </w:tabs>
      <w:spacing w:line="240" w:lineRule="auto"/>
      <w:ind w:left="720"/>
    </w:pPr>
    <w:rPr>
      <w:i/>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Heading30">
    <w:name w:val="Heading3"/>
    <w:basedOn w:val="Normal"/>
    <w:next w:val="Heading1"/>
    <w:uiPriority w:val="5"/>
    <w:qFormat/>
    <w:rsid w:val="00606BA4"/>
    <w:pPr>
      <w:keepNext/>
      <w:spacing w:before="240" w:line="240" w:lineRule="auto"/>
      <w:ind w:left="1440"/>
    </w:pPr>
    <w:rPr>
      <w:b/>
      <w:i/>
    </w:rPr>
  </w:style>
  <w:style w:type="paragraph" w:styleId="FootnoteText">
    <w:name w:val="footnote text"/>
    <w:basedOn w:val="Normal"/>
    <w:semiHidden/>
    <w:pPr>
      <w:ind w:left="720" w:hanging="720"/>
    </w:pPr>
    <w:rPr>
      <w:sz w:val="20"/>
    </w:rPr>
  </w:style>
  <w:style w:type="character" w:styleId="FootnoteReference">
    <w:name w:val="footnote reference"/>
    <w:semiHidden/>
    <w:rPr>
      <w:rFonts w:ascii="Arial" w:hAnsi="Arial"/>
      <w:vertAlign w:val="superscript"/>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semiHidden/>
    <w:rPr>
      <w:sz w:val="20"/>
    </w:rPr>
  </w:style>
  <w:style w:type="paragraph" w:customStyle="1" w:styleId="Quote2">
    <w:name w:val="Quote2"/>
    <w:basedOn w:val="Quote1"/>
    <w:uiPriority w:val="5"/>
    <w:qFormat/>
    <w:rsid w:val="001C0905"/>
    <w:pPr>
      <w:tabs>
        <w:tab w:val="left" w:pos="2552"/>
      </w:tabs>
      <w:ind w:left="2552" w:hanging="567"/>
    </w:pPr>
  </w:style>
  <w:style w:type="paragraph" w:customStyle="1" w:styleId="Quote3">
    <w:name w:val="Quote3"/>
    <w:basedOn w:val="Quote2"/>
    <w:uiPriority w:val="5"/>
    <w:qFormat/>
    <w:rsid w:val="001C0905"/>
    <w:pPr>
      <w:tabs>
        <w:tab w:val="clear" w:pos="2552"/>
        <w:tab w:val="left" w:pos="3260"/>
      </w:tabs>
      <w:ind w:left="3272" w:hanging="720"/>
    </w:pPr>
  </w:style>
  <w:style w:type="character" w:styleId="EndnoteReference">
    <w:name w:val="endnote reference"/>
    <w:semiHidden/>
    <w:rPr>
      <w:vertAlign w:val="superscript"/>
    </w:rPr>
  </w:style>
  <w:style w:type="paragraph" w:customStyle="1" w:styleId="Footer-Cover">
    <w:name w:val="Footer-Cover"/>
    <w:basedOn w:val="Normal"/>
    <w:pPr>
      <w:spacing w:line="240" w:lineRule="auto"/>
    </w:pPr>
    <w:rPr>
      <w:sz w:val="16"/>
    </w:rPr>
  </w:style>
  <w:style w:type="paragraph" w:customStyle="1" w:styleId="Quote4">
    <w:name w:val="Quote4"/>
    <w:basedOn w:val="Quote3"/>
    <w:uiPriority w:val="5"/>
    <w:qFormat/>
    <w:rsid w:val="001C0905"/>
    <w:pPr>
      <w:tabs>
        <w:tab w:val="clear" w:pos="3260"/>
        <w:tab w:val="left" w:pos="4394"/>
      </w:tabs>
      <w:ind w:left="3969" w:hanging="709"/>
    </w:pPr>
  </w:style>
  <w:style w:type="paragraph" w:customStyle="1" w:styleId="Casedate">
    <w:name w:val="Casedate"/>
    <w:basedOn w:val="Normal"/>
    <w:pPr>
      <w:spacing w:after="120"/>
      <w:jc w:val="left"/>
    </w:pPr>
    <w:rPr>
      <w:lang w:val="en-GB"/>
    </w:rPr>
  </w:style>
  <w:style w:type="paragraph" w:styleId="Caption">
    <w:name w:val="caption"/>
    <w:basedOn w:val="Normal"/>
    <w:next w:val="Normal"/>
    <w:rPr>
      <w:rFonts w:cs="Arial"/>
      <w:u w:val="single"/>
    </w:rPr>
  </w:style>
  <w:style w:type="paragraph" w:customStyle="1" w:styleId="Heading40">
    <w:name w:val="Heading4"/>
    <w:basedOn w:val="Heading30"/>
    <w:next w:val="Heading1"/>
    <w:uiPriority w:val="5"/>
    <w:qFormat/>
    <w:rPr>
      <w:b w:val="0"/>
    </w:rPr>
  </w:style>
  <w:style w:type="table" w:styleId="TableGrid">
    <w:name w:val="Table Grid"/>
    <w:basedOn w:val="TableNormal"/>
    <w:rsid w:val="00F01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IDENCE-Confession-">
    <w:name w:val="*EVIDENCE - Confession -"/>
    <w:rsid w:val="00094DCD"/>
    <w:pPr>
      <w:widowControl w:val="0"/>
      <w:spacing w:line="240" w:lineRule="atLeast"/>
      <w:jc w:val="both"/>
    </w:pPr>
    <w:rPr>
      <w:rFonts w:ascii="Arial" w:hAnsi="Arial"/>
      <w:sz w:val="24"/>
      <w:lang w:eastAsia="en-US"/>
    </w:rPr>
  </w:style>
  <w:style w:type="character" w:customStyle="1" w:styleId="FooterChar">
    <w:name w:val="Footer Char"/>
    <w:link w:val="Footer"/>
    <w:rsid w:val="00094DCD"/>
    <w:rPr>
      <w:rFonts w:ascii="Arial" w:hAnsi="Arial"/>
      <w:sz w:val="16"/>
      <w:lang w:eastAsia="en-US"/>
    </w:rPr>
  </w:style>
  <w:style w:type="character" w:customStyle="1" w:styleId="HeaderChar">
    <w:name w:val="Header Char"/>
    <w:link w:val="Header"/>
    <w:rsid w:val="00094DCD"/>
    <w:rPr>
      <w:rFonts w:ascii="Arial" w:hAnsi="Arial"/>
      <w:sz w:val="16"/>
      <w:lang w:eastAsia="en-US"/>
    </w:rPr>
  </w:style>
  <w:style w:type="paragraph" w:styleId="CommentSubject">
    <w:name w:val="annotation subject"/>
    <w:basedOn w:val="CommentText"/>
    <w:next w:val="CommentText"/>
    <w:link w:val="CommentSubjectChar"/>
    <w:rsid w:val="00C86CF2"/>
    <w:pPr>
      <w:spacing w:line="240" w:lineRule="auto"/>
    </w:pPr>
    <w:rPr>
      <w:b/>
      <w:bCs/>
    </w:rPr>
  </w:style>
  <w:style w:type="character" w:customStyle="1" w:styleId="CommentTextChar">
    <w:name w:val="Comment Text Char"/>
    <w:basedOn w:val="DefaultParagraphFont"/>
    <w:link w:val="CommentText"/>
    <w:semiHidden/>
    <w:rsid w:val="00C86CF2"/>
    <w:rPr>
      <w:rFonts w:ascii="Arial" w:hAnsi="Arial"/>
      <w:lang w:eastAsia="en-US"/>
    </w:rPr>
  </w:style>
  <w:style w:type="character" w:customStyle="1" w:styleId="CommentSubjectChar">
    <w:name w:val="Comment Subject Char"/>
    <w:basedOn w:val="CommentTextChar"/>
    <w:link w:val="CommentSubject"/>
    <w:rsid w:val="00C86CF2"/>
    <w:rPr>
      <w:rFonts w:ascii="Arial" w:hAnsi="Arial"/>
      <w:b/>
      <w:bCs/>
      <w:lang w:eastAsia="en-US"/>
    </w:rPr>
  </w:style>
  <w:style w:type="paragraph" w:styleId="BalloonText">
    <w:name w:val="Balloon Text"/>
    <w:basedOn w:val="Normal"/>
    <w:link w:val="BalloonTextChar"/>
    <w:rsid w:val="00C86C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86C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KGrpTemp\Judges\CC-Jd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8F9A0-EE71-4E6A-A929-2FFCACE2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CC-Jdg</Template>
  <TotalTime>0</TotalTime>
  <Pages>10</Pages>
  <Words>3017</Words>
  <Characters>14790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Guthrie;anna.summers@countycourt.vic.gov.au</dc:creator>
  <cp:keywords/>
  <dc:description/>
  <cp:lastModifiedBy>Kate Alberico</cp:lastModifiedBy>
  <cp:revision>2</cp:revision>
  <cp:lastPrinted>2017-11-17T06:27:00Z</cp:lastPrinted>
  <dcterms:created xsi:type="dcterms:W3CDTF">2018-06-06T23:21:00Z</dcterms:created>
  <dcterms:modified xsi:type="dcterms:W3CDTF">2018-06-06T23:21:00Z</dcterms:modified>
</cp:coreProperties>
</file>